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04EBE3BA" w:rsidR="00E9014F" w:rsidRPr="008961F6" w:rsidRDefault="00E9014F" w:rsidP="00E9014F">
      <w:pPr>
        <w:pStyle w:val="3GPPHeader"/>
        <w:spacing w:after="60"/>
        <w:rPr>
          <w:sz w:val="28"/>
          <w:szCs w:val="32"/>
          <w:highlight w:val="yellow"/>
          <w:lang w:val="en-US"/>
        </w:rPr>
      </w:pPr>
      <w:bookmarkStart w:id="0" w:name="_GoBack"/>
      <w:bookmarkEnd w:id="0"/>
      <w:r w:rsidRPr="001B23AB">
        <w:rPr>
          <w:lang w:val="en-US"/>
        </w:rPr>
        <w:t>3GPP TSG-RAN WG1 Meeting #9</w:t>
      </w:r>
      <w:r w:rsidR="00B30AE7">
        <w:rPr>
          <w:lang w:val="en-US"/>
        </w:rPr>
        <w:t>9</w:t>
      </w:r>
      <w:r w:rsidRPr="001B23AB">
        <w:rPr>
          <w:lang w:val="en-US"/>
        </w:rPr>
        <w:tab/>
      </w:r>
      <w:r w:rsidR="00534735" w:rsidRPr="00534735">
        <w:rPr>
          <w:sz w:val="28"/>
          <w:szCs w:val="32"/>
          <w:lang w:val="en-US"/>
        </w:rPr>
        <w:t>R1-1913401</w:t>
      </w:r>
    </w:p>
    <w:p w14:paraId="2C1A73C1" w14:textId="599F4634" w:rsidR="00E9014F" w:rsidRPr="00E9014F" w:rsidRDefault="00B30AE7" w:rsidP="00E9014F">
      <w:pPr>
        <w:pStyle w:val="3GPPHeader"/>
        <w:rPr>
          <w:lang w:val="en-US"/>
        </w:rPr>
      </w:pPr>
      <w:r>
        <w:rPr>
          <w:lang w:val="en-US"/>
        </w:rPr>
        <w:t>Reno, NV, USA</w:t>
      </w:r>
      <w:r w:rsidR="00E9014F" w:rsidRPr="007A4AA0">
        <w:rPr>
          <w:lang w:val="en-US"/>
        </w:rPr>
        <w:t xml:space="preserve">, </w:t>
      </w:r>
      <w:r w:rsidR="00C827B5">
        <w:rPr>
          <w:lang w:val="en-US"/>
        </w:rPr>
        <w:t>18</w:t>
      </w:r>
      <w:r w:rsidR="004B1ABC" w:rsidRPr="007A4AA0">
        <w:rPr>
          <w:vertAlign w:val="superscript"/>
          <w:lang w:val="en-US"/>
        </w:rPr>
        <w:t xml:space="preserve">th </w:t>
      </w:r>
      <w:r w:rsidR="004B1ABC" w:rsidRPr="007A4AA0">
        <w:rPr>
          <w:lang w:val="en-US"/>
        </w:rPr>
        <w:t xml:space="preserve">– </w:t>
      </w:r>
      <w:r w:rsidR="001B23AB" w:rsidRPr="007A4AA0">
        <w:rPr>
          <w:lang w:val="en-US"/>
        </w:rPr>
        <w:t>2</w:t>
      </w:r>
      <w:r w:rsidR="00C827B5">
        <w:rPr>
          <w:lang w:val="en-US"/>
        </w:rPr>
        <w:t>2</w:t>
      </w:r>
      <w:r w:rsidR="00C827B5">
        <w:rPr>
          <w:vertAlign w:val="superscript"/>
          <w:lang w:val="en-US"/>
        </w:rPr>
        <w:t>nd</w:t>
      </w:r>
      <w:r w:rsidR="004B1ABC" w:rsidRPr="007A4AA0">
        <w:rPr>
          <w:lang w:val="en-US"/>
        </w:rPr>
        <w:t xml:space="preserve"> </w:t>
      </w:r>
      <w:r w:rsidR="00C827B5">
        <w:rPr>
          <w:lang w:val="en-US"/>
        </w:rPr>
        <w:t>November</w:t>
      </w:r>
      <w:r w:rsidR="004B1ABC" w:rsidRPr="007A4AA0">
        <w:rPr>
          <w:lang w:val="en-US"/>
        </w:rPr>
        <w:t xml:space="preserve">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52FA7950" w:rsidR="00F618ED" w:rsidRPr="007A0766" w:rsidRDefault="00F618ED" w:rsidP="00F618ED">
      <w:pPr>
        <w:pStyle w:val="Header"/>
        <w:tabs>
          <w:tab w:val="clear" w:pos="4536"/>
          <w:tab w:val="left" w:pos="1800"/>
        </w:tabs>
      </w:pPr>
      <w:r w:rsidRPr="007A0766">
        <w:t>Title:</w:t>
      </w:r>
      <w:bookmarkStart w:id="1" w:name="Title"/>
      <w:bookmarkEnd w:id="1"/>
      <w:r w:rsidRPr="007A0766">
        <w:tab/>
      </w:r>
      <w:r w:rsidR="00E66DF4">
        <w:t>Feature lead summary #</w:t>
      </w:r>
      <w:r w:rsidR="00BF68D0">
        <w:t xml:space="preserve">2 </w:t>
      </w:r>
      <w:r w:rsidR="009F1868">
        <w:t>on NTN</w:t>
      </w:r>
      <w:r w:rsidR="00F22805" w:rsidRPr="00F22805">
        <w:t xml:space="preserve"> physical layer control procedures</w:t>
      </w:r>
    </w:p>
    <w:p w14:paraId="691C927F" w14:textId="6B39BFA7"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9014F">
        <w:t>2</w:t>
      </w:r>
      <w:r w:rsidR="00E86352" w:rsidRPr="007A0766">
        <w:t>.</w:t>
      </w:r>
      <w:r w:rsidR="00E9014F">
        <w:t>5</w:t>
      </w:r>
      <w:r w:rsidR="00900A98" w:rsidRPr="007A0766">
        <w:t>.</w:t>
      </w:r>
      <w:bookmarkEnd w:id="3"/>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2A9656F2" w:rsidR="004048F9" w:rsidRPr="00E64E99" w:rsidRDefault="004048F9" w:rsidP="004048F9">
      <w:pPr>
        <w:pStyle w:val="BodyText"/>
      </w:pPr>
      <w:r>
        <w:t>This document contains a summary of the contributions under AI 7.2.5.2 at RAN1#9</w:t>
      </w:r>
      <w:r w:rsidR="00B30AE7">
        <w:t>9</w:t>
      </w:r>
      <w:r>
        <w:t>.</w:t>
      </w:r>
      <w:r w:rsidR="005648A5">
        <w:t xml:space="preserve"> </w:t>
      </w:r>
      <w:r>
        <w:t xml:space="preserve">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6F719F6A" w:rsidR="00575C70" w:rsidRPr="00E64E99" w:rsidRDefault="00575C70" w:rsidP="00575C70">
      <w:pPr>
        <w:pStyle w:val="Heading1"/>
      </w:pPr>
      <w:bookmarkStart w:id="5" w:name="_Ref5582230"/>
      <w:r w:rsidRPr="00E64E99">
        <w:t>Summary</w:t>
      </w:r>
      <w:bookmarkEnd w:id="5"/>
    </w:p>
    <w:p w14:paraId="74FD9945" w14:textId="2AC5A4A1" w:rsidR="00A94398" w:rsidRPr="00E64E99" w:rsidRDefault="00A94398" w:rsidP="00A94398">
      <w:pPr>
        <w:pStyle w:val="BodyText"/>
      </w:pPr>
      <w:r w:rsidRPr="00E64E99">
        <w:t xml:space="preserve">The </w:t>
      </w:r>
      <w:r w:rsidR="00FA454A" w:rsidRPr="00E64E99">
        <w:t xml:space="preserve">main </w:t>
      </w:r>
      <w:r w:rsidRPr="00E64E99">
        <w:t xml:space="preserve">topics </w:t>
      </w:r>
      <w:r w:rsidR="00FA454A" w:rsidRPr="00E64E99">
        <w:t xml:space="preserve">in the contributions </w:t>
      </w:r>
      <w:r w:rsidR="00592202" w:rsidRPr="00E64E99">
        <w:t xml:space="preserve">submitted to AI 7.2.5.2 </w:t>
      </w:r>
      <w:r w:rsidRPr="00E64E99">
        <w:t>are:</w:t>
      </w:r>
    </w:p>
    <w:p w14:paraId="3A4B11BD" w14:textId="0118E8F6" w:rsidR="00EA0D2A" w:rsidRDefault="00E33A8E" w:rsidP="006E30D4">
      <w:pPr>
        <w:pStyle w:val="BodyText"/>
        <w:numPr>
          <w:ilvl w:val="0"/>
          <w:numId w:val="10"/>
        </w:numPr>
      </w:pPr>
      <w:r w:rsidRPr="00E64E99">
        <w:t>Uplink t</w:t>
      </w:r>
      <w:r w:rsidR="00FA454A" w:rsidRPr="00E64E99">
        <w:t>ransmission timing</w:t>
      </w:r>
    </w:p>
    <w:p w14:paraId="33ADCD88" w14:textId="6F56D39A" w:rsidR="00EB179D" w:rsidRPr="00E64E99" w:rsidRDefault="00EB179D" w:rsidP="006E30D4">
      <w:pPr>
        <w:pStyle w:val="BodyText"/>
        <w:numPr>
          <w:ilvl w:val="0"/>
          <w:numId w:val="10"/>
        </w:numPr>
      </w:pPr>
      <w:r>
        <w:t>I</w:t>
      </w:r>
      <w:r w:rsidRPr="00EB179D">
        <w:t>mpact of feeder/service link switch</w:t>
      </w:r>
      <w:r>
        <w:t xml:space="preserve"> on PHY procedures</w:t>
      </w:r>
    </w:p>
    <w:p w14:paraId="1C45738C" w14:textId="29B8FA21" w:rsidR="004048F9" w:rsidRPr="00E64E99" w:rsidRDefault="004048F9" w:rsidP="004048F9">
      <w:pPr>
        <w:pStyle w:val="BodyText"/>
      </w:pPr>
      <w:r w:rsidRPr="00E64E99">
        <w:t>The discussions under each of these topics are summarized below.</w:t>
      </w:r>
    </w:p>
    <w:p w14:paraId="68955A0C" w14:textId="7FA9A448" w:rsidR="00655030" w:rsidRDefault="00655030" w:rsidP="00F15EA0">
      <w:pPr>
        <w:pStyle w:val="BodyText"/>
      </w:pPr>
    </w:p>
    <w:p w14:paraId="4DBF480B" w14:textId="59703336" w:rsidR="008F6E98" w:rsidRDefault="008A4831" w:rsidP="004035AB">
      <w:pPr>
        <w:pStyle w:val="Heading2"/>
      </w:pPr>
      <w:r w:rsidRPr="0062628C">
        <w:t xml:space="preserve">Uplink </w:t>
      </w:r>
      <w:r w:rsidR="00F15EA0" w:rsidRPr="0062628C">
        <w:t>Transmission timing</w:t>
      </w:r>
    </w:p>
    <w:p w14:paraId="71900099" w14:textId="14617EF3" w:rsidR="009A462F" w:rsidRDefault="0014333E" w:rsidP="009A462F">
      <w:pPr>
        <w:pStyle w:val="BodyText"/>
      </w:pPr>
      <w:r>
        <w:t>There are a few proposals for uplink transmission timing which are summarized in Section 4.</w:t>
      </w:r>
      <w:r w:rsidR="00D027D6">
        <w:t>1</w:t>
      </w:r>
      <w:r>
        <w:t>.</w:t>
      </w:r>
    </w:p>
    <w:p w14:paraId="7B4FF655" w14:textId="1F05332C" w:rsidR="008C4B61" w:rsidRDefault="008C4B61" w:rsidP="009A462F">
      <w:pPr>
        <w:pStyle w:val="BodyText"/>
      </w:pPr>
    </w:p>
    <w:p w14:paraId="7F13735D" w14:textId="2318BF66" w:rsidR="00C1238F" w:rsidRDefault="00C1238F" w:rsidP="00C1238F">
      <w:pPr>
        <w:pStyle w:val="Proposal"/>
        <w:numPr>
          <w:ilvl w:val="0"/>
          <w:numId w:val="0"/>
        </w:numPr>
        <w:tabs>
          <w:tab w:val="clear" w:pos="1701"/>
          <w:tab w:val="num" w:leader="heavy" w:pos="2725"/>
        </w:tabs>
        <w:overflowPunct w:val="0"/>
        <w:autoSpaceDE w:val="0"/>
        <w:autoSpaceDN w:val="0"/>
        <w:adjustRightInd w:val="0"/>
        <w:spacing w:after="120" w:line="240" w:lineRule="auto"/>
        <w:jc w:val="both"/>
        <w:textAlignment w:val="baseline"/>
        <w:rPr>
          <w:rFonts w:ascii="Times New Roman" w:eastAsiaTheme="minorEastAsia" w:hAnsi="Times New Roman" w:cs="Times New Roman"/>
          <w:b w:val="0"/>
          <w:sz w:val="20"/>
          <w:lang w:eastAsia="zh-TW"/>
        </w:rPr>
      </w:pPr>
      <w:r w:rsidRPr="007731F1">
        <w:rPr>
          <w:rFonts w:ascii="Times New Roman" w:eastAsiaTheme="minorEastAsia" w:hAnsi="Times New Roman" w:cs="Times New Roman"/>
          <w:b w:val="0"/>
          <w:sz w:val="20"/>
          <w:lang w:eastAsia="zh-TW"/>
        </w:rPr>
        <w:t xml:space="preserve">Asia Pacific Telecom (R1-1912246) </w:t>
      </w:r>
      <w:r w:rsidR="007054A7">
        <w:rPr>
          <w:rFonts w:ascii="Times New Roman" w:eastAsiaTheme="minorEastAsia" w:hAnsi="Times New Roman" w:cs="Times New Roman"/>
          <w:b w:val="0"/>
          <w:sz w:val="20"/>
          <w:lang w:eastAsia="zh-TW"/>
        </w:rPr>
        <w:t>has two proposals for revising</w:t>
      </w:r>
      <w:r w:rsidRPr="007731F1">
        <w:rPr>
          <w:rFonts w:ascii="Times New Roman" w:eastAsiaTheme="minorEastAsia" w:hAnsi="Times New Roman" w:cs="Times New Roman"/>
          <w:b w:val="0"/>
          <w:sz w:val="20"/>
          <w:lang w:eastAsia="zh-TW"/>
        </w:rPr>
        <w:t xml:space="preserve"> the RAN1#98-Bis agreement.</w:t>
      </w:r>
      <w:r w:rsidR="007731F1" w:rsidRPr="007731F1">
        <w:rPr>
          <w:rFonts w:ascii="Times New Roman" w:eastAsiaTheme="minorEastAsia" w:hAnsi="Times New Roman" w:cs="Times New Roman"/>
          <w:b w:val="0"/>
          <w:sz w:val="20"/>
          <w:lang w:eastAsia="zh-TW"/>
        </w:rPr>
        <w:t xml:space="preserve">  The</w:t>
      </w:r>
      <w:r w:rsidR="007054A7">
        <w:rPr>
          <w:rFonts w:ascii="Times New Roman" w:eastAsiaTheme="minorEastAsia" w:hAnsi="Times New Roman" w:cs="Times New Roman"/>
          <w:b w:val="0"/>
          <w:sz w:val="20"/>
          <w:lang w:eastAsia="zh-TW"/>
        </w:rPr>
        <w:t>se</w:t>
      </w:r>
      <w:r w:rsidR="007731F1" w:rsidRPr="007731F1">
        <w:rPr>
          <w:rFonts w:ascii="Times New Roman" w:eastAsiaTheme="minorEastAsia" w:hAnsi="Times New Roman" w:cs="Times New Roman"/>
          <w:b w:val="0"/>
          <w:sz w:val="20"/>
          <w:lang w:eastAsia="zh-TW"/>
        </w:rPr>
        <w:t xml:space="preserve"> proposal</w:t>
      </w:r>
      <w:r w:rsidR="007054A7">
        <w:rPr>
          <w:rFonts w:ascii="Times New Roman" w:eastAsiaTheme="minorEastAsia" w:hAnsi="Times New Roman" w:cs="Times New Roman"/>
          <w:b w:val="0"/>
          <w:sz w:val="20"/>
          <w:lang w:eastAsia="zh-TW"/>
        </w:rPr>
        <w:t>s are</w:t>
      </w:r>
      <w:r w:rsidR="007731F1" w:rsidRPr="007731F1">
        <w:rPr>
          <w:rFonts w:ascii="Times New Roman" w:eastAsiaTheme="minorEastAsia" w:hAnsi="Times New Roman" w:cs="Times New Roman"/>
          <w:b w:val="0"/>
          <w:sz w:val="20"/>
          <w:lang w:eastAsia="zh-TW"/>
        </w:rPr>
        <w:t xml:space="preserve"> to be discussed further offline:</w:t>
      </w:r>
    </w:p>
    <w:p w14:paraId="68506231" w14:textId="77777777" w:rsidR="007054A7" w:rsidRPr="007731F1" w:rsidRDefault="007054A7" w:rsidP="00C1238F">
      <w:pPr>
        <w:pStyle w:val="Proposal"/>
        <w:numPr>
          <w:ilvl w:val="0"/>
          <w:numId w:val="0"/>
        </w:numPr>
        <w:tabs>
          <w:tab w:val="clear" w:pos="1701"/>
          <w:tab w:val="num" w:leader="heavy" w:pos="2725"/>
        </w:tabs>
        <w:overflowPunct w:val="0"/>
        <w:autoSpaceDE w:val="0"/>
        <w:autoSpaceDN w:val="0"/>
        <w:adjustRightInd w:val="0"/>
        <w:spacing w:after="120" w:line="240" w:lineRule="auto"/>
        <w:jc w:val="both"/>
        <w:textAlignment w:val="baseline"/>
        <w:rPr>
          <w:rFonts w:ascii="Times New Roman" w:eastAsiaTheme="minorEastAsia" w:hAnsi="Times New Roman" w:cs="Times New Roman"/>
          <w:b w:val="0"/>
          <w:sz w:val="20"/>
          <w:lang w:eastAsia="zh-TW"/>
        </w:rPr>
      </w:pPr>
    </w:p>
    <w:p w14:paraId="56363C8F" w14:textId="07024201" w:rsidR="007731F1" w:rsidRPr="007054A7" w:rsidRDefault="007731F1" w:rsidP="00C1238F">
      <w:pPr>
        <w:pStyle w:val="Proposal"/>
        <w:numPr>
          <w:ilvl w:val="0"/>
          <w:numId w:val="0"/>
        </w:numPr>
        <w:tabs>
          <w:tab w:val="clear" w:pos="1701"/>
          <w:tab w:val="num" w:leader="heavy" w:pos="2725"/>
        </w:tabs>
        <w:overflowPunct w:val="0"/>
        <w:autoSpaceDE w:val="0"/>
        <w:autoSpaceDN w:val="0"/>
        <w:adjustRightInd w:val="0"/>
        <w:spacing w:after="120" w:line="240" w:lineRule="auto"/>
        <w:jc w:val="both"/>
        <w:textAlignment w:val="baseline"/>
        <w:rPr>
          <w:rFonts w:ascii="Times New Roman" w:eastAsiaTheme="minorEastAsia" w:hAnsi="Times New Roman" w:cs="Times New Roman"/>
          <w:b w:val="0"/>
          <w:i/>
          <w:sz w:val="20"/>
          <w:szCs w:val="20"/>
          <w:lang w:eastAsia="zh-TW"/>
        </w:rPr>
      </w:pPr>
      <w:r w:rsidRPr="007054A7">
        <w:rPr>
          <w:rFonts w:ascii="Times New Roman" w:eastAsiaTheme="minorEastAsia" w:hAnsi="Times New Roman" w:cs="Times New Roman"/>
          <w:b w:val="0"/>
          <w:i/>
          <w:sz w:val="20"/>
          <w:szCs w:val="20"/>
          <w:lang w:eastAsia="zh-TW"/>
        </w:rPr>
        <w:t>Proposal 1:  Introduce the following change in the agreement by replacing ‘slot n’ with ‘UL slot n’:</w:t>
      </w:r>
    </w:p>
    <w:tbl>
      <w:tblPr>
        <w:tblStyle w:val="TableGrid"/>
        <w:tblW w:w="0" w:type="auto"/>
        <w:tblLook w:val="04A0" w:firstRow="1" w:lastRow="0" w:firstColumn="1" w:lastColumn="0" w:noHBand="0" w:noVBand="1"/>
      </w:tblPr>
      <w:tblGrid>
        <w:gridCol w:w="9062"/>
      </w:tblGrid>
      <w:tr w:rsidR="00C1238F" w:rsidRPr="007054A7" w14:paraId="514A4689" w14:textId="77777777" w:rsidTr="00BF5D8C">
        <w:tc>
          <w:tcPr>
            <w:tcW w:w="9350" w:type="dxa"/>
          </w:tcPr>
          <w:p w14:paraId="5F54BFAD" w14:textId="77777777" w:rsidR="00C1238F" w:rsidRPr="007054A7" w:rsidRDefault="00C1238F" w:rsidP="00BF5D8C">
            <w:pPr>
              <w:pStyle w:val="ListParagraph"/>
              <w:numPr>
                <w:ilvl w:val="0"/>
                <w:numId w:val="38"/>
              </w:numPr>
              <w:snapToGrid w:val="0"/>
              <w:spacing w:after="120"/>
              <w:jc w:val="both"/>
              <w:rPr>
                <w:i/>
                <w:szCs w:val="20"/>
                <w:lang w:eastAsia="zh-TW"/>
              </w:rPr>
            </w:pPr>
            <w:r w:rsidRPr="007054A7">
              <w:rPr>
                <w:rFonts w:eastAsiaTheme="minorEastAsia"/>
                <w:i/>
                <w:szCs w:val="20"/>
                <w:lang w:eastAsia="zh-CN"/>
              </w:rPr>
              <w:t xml:space="preserve">When the HARQ-ACK corresponding to a PDSCH carrying a MAC-CE command is transmitted </w:t>
            </w:r>
            <w:r w:rsidRPr="007054A7">
              <w:rPr>
                <w:rFonts w:eastAsiaTheme="minorEastAsia"/>
                <w:i/>
                <w:szCs w:val="20"/>
                <w:highlight w:val="yellow"/>
                <w:lang w:eastAsia="zh-CN"/>
              </w:rPr>
              <w:t xml:space="preserve">in </w:t>
            </w:r>
            <w:r w:rsidRPr="007054A7">
              <w:rPr>
                <w:rFonts w:eastAsiaTheme="minorEastAsia"/>
                <w:bCs/>
                <w:i/>
                <w:szCs w:val="20"/>
                <w:highlight w:val="yellow"/>
                <w:lang w:eastAsia="zh-CN"/>
              </w:rPr>
              <w:t>UL</w:t>
            </w:r>
            <w:r w:rsidRPr="007054A7">
              <w:rPr>
                <w:rFonts w:eastAsiaTheme="minorEastAsia"/>
                <w:i/>
                <w:szCs w:val="20"/>
                <w:highlight w:val="yellow"/>
                <w:lang w:eastAsia="zh-CN"/>
              </w:rPr>
              <w:t xml:space="preserve"> slot n</w:t>
            </w:r>
            <w:r w:rsidRPr="007054A7">
              <w:rPr>
                <w:rFonts w:eastAsiaTheme="minorEastAsia"/>
                <w:i/>
                <w:szCs w:val="20"/>
                <w:lang w:eastAsia="zh-CN"/>
              </w:rPr>
              <w:t xml:space="preserve">, the corresponding action and the UE assumption on the downlink configuration indicated by the MAC-CE command shall be applied starting from the first slot that is after slot </w:t>
            </w:r>
            <m:oMath>
              <m:r>
                <w:rPr>
                  <w:rFonts w:ascii="Cambria Math" w:eastAsiaTheme="minorEastAsia" w:hAnsi="Cambria Math"/>
                  <w:szCs w:val="20"/>
                  <w:lang w:eastAsia="zh-CN"/>
                </w:rPr>
                <m:t>n+</m:t>
              </m:r>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XN</m:t>
                  </m:r>
                </m:e>
                <m:sub>
                  <m:r>
                    <w:rPr>
                      <w:rFonts w:ascii="Cambria Math" w:eastAsiaTheme="minorEastAsia" w:hAnsi="Cambria Math"/>
                      <w:szCs w:val="20"/>
                      <w:lang w:eastAsia="zh-CN"/>
                    </w:rPr>
                    <m:t>slot</m:t>
                  </m:r>
                </m:sub>
                <m:sup>
                  <m:r>
                    <w:rPr>
                      <w:rFonts w:ascii="Cambria Math" w:eastAsiaTheme="minorEastAsia" w:hAnsi="Cambria Math"/>
                      <w:szCs w:val="20"/>
                      <w:lang w:eastAsia="zh-CN"/>
                    </w:rPr>
                    <m:t>subframe,µ</m:t>
                  </m:r>
                </m:sup>
              </m:sSubSup>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offset</m:t>
                  </m:r>
                </m:sub>
              </m:sSub>
              <m:r>
                <w:rPr>
                  <w:rFonts w:ascii="Cambria Math" w:eastAsiaTheme="minorEastAsia" w:hAnsi="Cambria Math"/>
                  <w:szCs w:val="20"/>
                  <w:lang w:eastAsia="zh-CN"/>
                </w:rPr>
                <m:t> </m:t>
              </m:r>
            </m:oMath>
            <w:r w:rsidRPr="007054A7">
              <w:rPr>
                <w:rFonts w:eastAsiaTheme="minorEastAsia"/>
                <w:i/>
                <w:szCs w:val="20"/>
                <w:lang w:eastAsia="zh-CN"/>
              </w:rPr>
              <w:t>(X can be determined when specifications are developed).</w:t>
            </w:r>
          </w:p>
        </w:tc>
      </w:tr>
    </w:tbl>
    <w:p w14:paraId="465F65EE" w14:textId="4D8F5AC4" w:rsidR="00861977" w:rsidRDefault="00861977" w:rsidP="009A462F">
      <w:pPr>
        <w:pStyle w:val="BodyText"/>
      </w:pPr>
    </w:p>
    <w:p w14:paraId="76888F94" w14:textId="75323BE1" w:rsidR="007054A7" w:rsidRPr="007054A7" w:rsidRDefault="007054A7" w:rsidP="007054A7">
      <w:pPr>
        <w:pStyle w:val="Proposal"/>
        <w:numPr>
          <w:ilvl w:val="0"/>
          <w:numId w:val="0"/>
        </w:numPr>
        <w:tabs>
          <w:tab w:val="clear" w:pos="1701"/>
          <w:tab w:val="num" w:leader="heavy" w:pos="2725"/>
        </w:tabs>
        <w:overflowPunct w:val="0"/>
        <w:autoSpaceDE w:val="0"/>
        <w:autoSpaceDN w:val="0"/>
        <w:adjustRightInd w:val="0"/>
        <w:spacing w:after="120" w:line="240" w:lineRule="auto"/>
        <w:ind w:left="1701" w:hanging="1701"/>
        <w:jc w:val="both"/>
        <w:textAlignment w:val="baseline"/>
        <w:rPr>
          <w:rFonts w:ascii="Times New Roman" w:hAnsi="Times New Roman" w:cs="Times New Roman"/>
          <w:b w:val="0"/>
          <w:i/>
          <w:sz w:val="20"/>
        </w:rPr>
      </w:pPr>
      <w:r w:rsidRPr="007054A7">
        <w:rPr>
          <w:rFonts w:ascii="Times New Roman" w:hAnsi="Times New Roman" w:cs="Times New Roman"/>
          <w:b w:val="0"/>
          <w:i/>
          <w:sz w:val="20"/>
        </w:rPr>
        <w:t>Proposal 2:</w:t>
      </w:r>
      <w:r w:rsidRPr="007054A7">
        <w:rPr>
          <w:rFonts w:ascii="Times New Roman" w:hAnsi="Times New Roman" w:cs="Times New Roman"/>
          <w:b w:val="0"/>
          <w:i/>
          <w:sz w:val="20"/>
        </w:rPr>
        <w:tab/>
        <w:t>Revise the RAN1#98-Bis agreement by specifying the MAC CE latency by X, where X is FFS.</w:t>
      </w:r>
    </w:p>
    <w:tbl>
      <w:tblPr>
        <w:tblStyle w:val="TableGrid"/>
        <w:tblW w:w="9085" w:type="dxa"/>
        <w:tblLook w:val="04A0" w:firstRow="1" w:lastRow="0" w:firstColumn="1" w:lastColumn="0" w:noHBand="0" w:noVBand="1"/>
      </w:tblPr>
      <w:tblGrid>
        <w:gridCol w:w="9085"/>
      </w:tblGrid>
      <w:tr w:rsidR="007054A7" w14:paraId="1EAF6A90" w14:textId="77777777" w:rsidTr="007054A7">
        <w:tc>
          <w:tcPr>
            <w:tcW w:w="9085" w:type="dxa"/>
            <w:tcBorders>
              <w:top w:val="single" w:sz="4" w:space="0" w:color="auto"/>
              <w:left w:val="single" w:sz="4" w:space="0" w:color="auto"/>
              <w:bottom w:val="single" w:sz="4" w:space="0" w:color="auto"/>
              <w:right w:val="single" w:sz="4" w:space="0" w:color="auto"/>
            </w:tcBorders>
            <w:hideMark/>
          </w:tcPr>
          <w:p w14:paraId="442D735C" w14:textId="77777777" w:rsidR="007054A7" w:rsidRPr="000469F5" w:rsidRDefault="007054A7" w:rsidP="007054A7">
            <w:pPr>
              <w:pStyle w:val="Proposal"/>
              <w:numPr>
                <w:ilvl w:val="0"/>
                <w:numId w:val="42"/>
              </w:numPr>
              <w:tabs>
                <w:tab w:val="left" w:pos="720"/>
              </w:tabs>
              <w:overflowPunct w:val="0"/>
              <w:autoSpaceDE w:val="0"/>
              <w:autoSpaceDN w:val="0"/>
              <w:adjustRightInd w:val="0"/>
              <w:spacing w:after="120" w:line="240" w:lineRule="auto"/>
              <w:jc w:val="both"/>
              <w:textAlignment w:val="baseline"/>
              <w:rPr>
                <w:rFonts w:ascii="Times New Roman" w:hAnsi="Times New Roman" w:cs="Times New Roman"/>
                <w:b w:val="0"/>
                <w:bCs w:val="0"/>
                <w:i/>
              </w:rPr>
            </w:pPr>
            <w:r w:rsidRPr="000469F5">
              <w:rPr>
                <w:rFonts w:ascii="Times New Roman" w:hAnsi="Times New Roman" w:cs="Times New Roman"/>
                <w:b w:val="0"/>
                <w:bCs w:val="0"/>
                <w:i/>
                <w:sz w:val="20"/>
              </w:rPr>
              <w:t xml:space="preserve">When the HARQ-ACK corresponding to a PDSCH carrying a MAC-CE command is transmitted in </w:t>
            </w:r>
            <w:r w:rsidRPr="000469F5">
              <w:rPr>
                <w:rFonts w:ascii="Times New Roman" w:hAnsi="Times New Roman" w:cs="Times New Roman"/>
                <w:b w:val="0"/>
                <w:bCs w:val="0"/>
                <w:i/>
                <w:sz w:val="20"/>
                <w:highlight w:val="yellow"/>
              </w:rPr>
              <w:t>UL slot n</w:t>
            </w:r>
            <w:r w:rsidRPr="000469F5">
              <w:rPr>
                <w:rFonts w:ascii="Times New Roman" w:hAnsi="Times New Roman" w:cs="Times New Roman"/>
                <w:b w:val="0"/>
                <w:bCs w:val="0"/>
                <w:i/>
                <w:sz w:val="20"/>
              </w:rPr>
              <w:t xml:space="preserve">, the corresponding action and the UE assumption on the downlink configuration indicated by the MAC-CE command shall be applied starting from the first slot that is after slot </w:t>
            </w:r>
            <m:oMath>
              <m:r>
                <m:rPr>
                  <m:sty m:val="bi"/>
                </m:rPr>
                <w:rPr>
                  <w:rFonts w:ascii="Cambria Math" w:hAnsi="Cambria Math" w:cs="Times New Roman"/>
                  <w:sz w:val="20"/>
                  <w:highlight w:val="yellow"/>
                </w:rPr>
                <m:t>n+X </m:t>
              </m:r>
            </m:oMath>
            <w:r w:rsidRPr="000469F5">
              <w:rPr>
                <w:rFonts w:ascii="Times New Roman" w:hAnsi="Times New Roman" w:cs="Times New Roman"/>
                <w:b w:val="0"/>
                <w:bCs w:val="0"/>
                <w:i/>
                <w:sz w:val="20"/>
                <w:highlight w:val="yellow"/>
              </w:rPr>
              <w:t>(X can be determined when specifications are developed).</w:t>
            </w:r>
          </w:p>
        </w:tc>
      </w:tr>
    </w:tbl>
    <w:p w14:paraId="0F99FCE1" w14:textId="2186F7E4" w:rsidR="007054A7" w:rsidRDefault="007054A7" w:rsidP="009A462F">
      <w:pPr>
        <w:pStyle w:val="BodyText"/>
      </w:pPr>
    </w:p>
    <w:p w14:paraId="51E0A97D" w14:textId="77777777" w:rsidR="007054A7" w:rsidRDefault="007054A7" w:rsidP="009A462F">
      <w:pPr>
        <w:pStyle w:val="BodyText"/>
      </w:pPr>
    </w:p>
    <w:p w14:paraId="75FE3099" w14:textId="4F0ACED7" w:rsidR="00674F1C" w:rsidRDefault="007731F1" w:rsidP="009A462F">
      <w:pPr>
        <w:pStyle w:val="BodyText"/>
      </w:pPr>
      <w:r>
        <w:t>The following proposals are from CMCC (R1-1912535) which are to be discussed offline.</w:t>
      </w:r>
    </w:p>
    <w:p w14:paraId="5ABA2B32" w14:textId="3317F4D5" w:rsidR="007731F1" w:rsidRDefault="007731F1" w:rsidP="009A462F">
      <w:pPr>
        <w:pStyle w:val="BodyText"/>
      </w:pPr>
    </w:p>
    <w:p w14:paraId="2C1CEFAF" w14:textId="5E76FF2C" w:rsidR="007731F1" w:rsidRPr="003B7AD2" w:rsidRDefault="007731F1" w:rsidP="007731F1">
      <w:pPr>
        <w:spacing w:beforeLines="50" w:before="120" w:afterLines="50" w:after="120"/>
        <w:jc w:val="both"/>
        <w:rPr>
          <w:bCs/>
          <w:i/>
          <w:szCs w:val="20"/>
        </w:rPr>
      </w:pPr>
      <w:r w:rsidRPr="003B7AD2">
        <w:rPr>
          <w:i/>
          <w:szCs w:val="20"/>
        </w:rPr>
        <w:t xml:space="preserve">Proposal </w:t>
      </w:r>
      <w:r w:rsidR="007054A7">
        <w:rPr>
          <w:i/>
          <w:szCs w:val="20"/>
        </w:rPr>
        <w:t>3</w:t>
      </w:r>
      <w:r w:rsidRPr="003B7AD2">
        <w:rPr>
          <w:i/>
          <w:szCs w:val="20"/>
        </w:rPr>
        <w:t xml:space="preserve">: </w:t>
      </w:r>
      <w:r w:rsidRPr="003B7AD2">
        <w:rPr>
          <w:bCs/>
          <w:i/>
          <w:szCs w:val="20"/>
        </w:rPr>
        <w:t>Default timing offset (</w:t>
      </w:r>
      <m:oMath>
        <m:sSubSup>
          <m:sSubSupPr>
            <m:ctrlPr>
              <w:rPr>
                <w:rFonts w:ascii="Cambria Math" w:hAnsi="Cambria Math"/>
                <w:bCs/>
                <w:i/>
                <w:szCs w:val="20"/>
              </w:rPr>
            </m:ctrlPr>
          </m:sSubSupPr>
          <m:e>
            <m:r>
              <w:rPr>
                <w:rFonts w:ascii="Cambria Math" w:hAnsi="Cambria Math"/>
                <w:szCs w:val="20"/>
              </w:rPr>
              <m:t>K</m:t>
            </m:r>
          </m:e>
          <m:sub>
            <m:r>
              <w:rPr>
                <w:rFonts w:ascii="Cambria Math" w:hAnsi="Cambria Math"/>
                <w:szCs w:val="20"/>
              </w:rPr>
              <m:t>offset</m:t>
            </m:r>
          </m:sub>
          <m:sup>
            <m:r>
              <w:rPr>
                <w:rFonts w:ascii="Cambria Math" w:hAnsi="Cambria Math"/>
                <w:szCs w:val="20"/>
              </w:rPr>
              <m:t>default</m:t>
            </m:r>
          </m:sup>
        </m:sSubSup>
      </m:oMath>
      <w:r w:rsidRPr="003B7AD2">
        <w:rPr>
          <w:bCs/>
          <w:i/>
          <w:szCs w:val="20"/>
        </w:rPr>
        <w:t>), which is only determined by common TA, can be used for random access procedure.</w:t>
      </w:r>
    </w:p>
    <w:p w14:paraId="6D23DD1F" w14:textId="1E1D8D03" w:rsidR="007731F1" w:rsidRPr="003B7AD2" w:rsidRDefault="007731F1" w:rsidP="007731F1">
      <w:pPr>
        <w:spacing w:beforeLines="50" w:before="120" w:afterLines="50" w:after="120"/>
        <w:jc w:val="both"/>
        <w:rPr>
          <w:bCs/>
          <w:i/>
          <w:szCs w:val="20"/>
        </w:rPr>
      </w:pPr>
      <w:r w:rsidRPr="003B7AD2">
        <w:rPr>
          <w:i/>
          <w:szCs w:val="20"/>
        </w:rPr>
        <w:t xml:space="preserve">Proposal </w:t>
      </w:r>
      <w:r w:rsidR="007054A7">
        <w:rPr>
          <w:i/>
          <w:szCs w:val="20"/>
        </w:rPr>
        <w:t>4</w:t>
      </w:r>
      <w:r w:rsidRPr="003B7AD2">
        <w:rPr>
          <w:i/>
          <w:szCs w:val="20"/>
        </w:rPr>
        <w:t xml:space="preserve">: </w:t>
      </w:r>
      <w:r w:rsidRPr="003B7AD2">
        <w:rPr>
          <w:bCs/>
          <w:i/>
          <w:szCs w:val="20"/>
        </w:rPr>
        <w:t>After RRC connection setup, UE specified timing offset (</w:t>
      </w:r>
      <m:oMath>
        <m:sSub>
          <m:sSubPr>
            <m:ctrlPr>
              <w:rPr>
                <w:rFonts w:ascii="Cambria Math" w:hAnsi="Cambria Math"/>
                <w:i/>
                <w:szCs w:val="20"/>
              </w:rPr>
            </m:ctrlPr>
          </m:sSubPr>
          <m:e>
            <m:r>
              <w:rPr>
                <w:rFonts w:ascii="Cambria Math" w:hAnsi="Cambria Math"/>
              </w:rPr>
              <m:t>K</m:t>
            </m:r>
          </m:e>
          <m:sub>
            <m:r>
              <w:rPr>
                <w:rFonts w:ascii="Cambria Math" w:hAnsi="Cambria Math"/>
              </w:rPr>
              <m:t>offset</m:t>
            </m:r>
          </m:sub>
        </m:sSub>
      </m:oMath>
      <w:r w:rsidRPr="003B7AD2">
        <w:rPr>
          <w:bCs/>
          <w:i/>
          <w:szCs w:val="20"/>
        </w:rPr>
        <w:t>)</w:t>
      </w:r>
      <w:r w:rsidRPr="003B7AD2">
        <w:rPr>
          <w:i/>
          <w:szCs w:val="20"/>
        </w:rPr>
        <w:t xml:space="preserve"> can be signaled by higher layers</w:t>
      </w:r>
      <w:r w:rsidRPr="003B7AD2">
        <w:rPr>
          <w:bCs/>
          <w:i/>
          <w:szCs w:val="20"/>
        </w:rPr>
        <w:t>.</w:t>
      </w:r>
    </w:p>
    <w:p w14:paraId="391856C9" w14:textId="0DC2B95E" w:rsidR="007731F1" w:rsidRDefault="007731F1" w:rsidP="007731F1">
      <w:pPr>
        <w:pStyle w:val="BodyText"/>
      </w:pPr>
      <w:r w:rsidRPr="003B7AD2">
        <w:rPr>
          <w:i/>
          <w:szCs w:val="20"/>
        </w:rPr>
        <w:lastRenderedPageBreak/>
        <w:t xml:space="preserve">Proposal </w:t>
      </w:r>
      <w:r w:rsidR="007054A7">
        <w:rPr>
          <w:i/>
          <w:szCs w:val="20"/>
        </w:rPr>
        <w:t>5</w:t>
      </w:r>
      <w:r w:rsidRPr="003B7AD2">
        <w:rPr>
          <w:i/>
          <w:szCs w:val="20"/>
        </w:rPr>
        <w:t xml:space="preserve">: </w:t>
      </w:r>
      <w:r w:rsidRPr="003B7AD2">
        <w:rPr>
          <w:bCs/>
          <w:i/>
          <w:szCs w:val="20"/>
        </w:rPr>
        <w:t>Extending the value range of dl-</w:t>
      </w:r>
      <w:proofErr w:type="spellStart"/>
      <w:r w:rsidRPr="003B7AD2">
        <w:rPr>
          <w:bCs/>
          <w:i/>
          <w:szCs w:val="20"/>
        </w:rPr>
        <w:t>DataToUL</w:t>
      </w:r>
      <w:proofErr w:type="spellEnd"/>
      <w:r w:rsidRPr="003B7AD2">
        <w:rPr>
          <w:bCs/>
          <w:i/>
          <w:szCs w:val="20"/>
        </w:rPr>
        <w:t>-ACK field in PUCCH-Config IE to larger than 15, e.g., 31.</w:t>
      </w:r>
    </w:p>
    <w:p w14:paraId="71FF283F" w14:textId="71E3D2CF" w:rsidR="00626E2E" w:rsidRDefault="00626E2E" w:rsidP="00EC1FCF">
      <w:pPr>
        <w:pStyle w:val="BodyText"/>
      </w:pPr>
    </w:p>
    <w:p w14:paraId="4F434E45" w14:textId="1510CA55" w:rsidR="007731F1" w:rsidRDefault="007731F1" w:rsidP="007731F1">
      <w:pPr>
        <w:pStyle w:val="BodyText"/>
      </w:pPr>
      <w:r>
        <w:t>The following proposals are from ZTE (</w:t>
      </w:r>
      <w:r w:rsidRPr="007731F1">
        <w:t>R1-1912611</w:t>
      </w:r>
      <w:r>
        <w:t>) which</w:t>
      </w:r>
      <w:r w:rsidR="007054A7">
        <w:t xml:space="preserve"> is</w:t>
      </w:r>
      <w:r>
        <w:t xml:space="preserve"> to be discussed offline.</w:t>
      </w:r>
    </w:p>
    <w:p w14:paraId="3971334B" w14:textId="0C043252" w:rsidR="007731F1" w:rsidRDefault="007731F1" w:rsidP="007731F1">
      <w:pPr>
        <w:pStyle w:val="BodyText"/>
      </w:pPr>
    </w:p>
    <w:p w14:paraId="180B2C10" w14:textId="039BA3E8" w:rsidR="007731F1" w:rsidRDefault="007731F1" w:rsidP="007731F1">
      <w:pPr>
        <w:pStyle w:val="BodyText"/>
      </w:pPr>
      <w:r w:rsidRPr="0014333E">
        <w:rPr>
          <w:i/>
        </w:rPr>
        <w:t xml:space="preserve">Proposal </w:t>
      </w:r>
      <w:r w:rsidR="007054A7">
        <w:rPr>
          <w:i/>
        </w:rPr>
        <w:t>6</w:t>
      </w:r>
      <w:r w:rsidRPr="0014333E">
        <w:rPr>
          <w:i/>
        </w:rPr>
        <w:t>: Extension of the value range of k1 in existing Rel-15 design should be supported in NTN.</w:t>
      </w:r>
    </w:p>
    <w:p w14:paraId="3C86A8E9" w14:textId="77777777" w:rsidR="007731F1" w:rsidRDefault="007731F1" w:rsidP="007731F1">
      <w:pPr>
        <w:pStyle w:val="BodyText"/>
      </w:pPr>
    </w:p>
    <w:p w14:paraId="25B69DD8" w14:textId="77777777" w:rsidR="007731F1" w:rsidRDefault="007731F1" w:rsidP="00EC1FCF">
      <w:pPr>
        <w:pStyle w:val="BodyText"/>
      </w:pPr>
    </w:p>
    <w:p w14:paraId="5FF79C9C" w14:textId="16371D6E" w:rsidR="00EB179D" w:rsidRPr="00E64E99" w:rsidRDefault="00EB179D" w:rsidP="00EB179D">
      <w:pPr>
        <w:pStyle w:val="Heading2"/>
      </w:pPr>
      <w:r>
        <w:t xml:space="preserve">Impact </w:t>
      </w:r>
      <w:r w:rsidRPr="00EB179D">
        <w:t>of feeder/service link switch</w:t>
      </w:r>
      <w:r>
        <w:t xml:space="preserve"> on PHY procedures</w:t>
      </w:r>
    </w:p>
    <w:p w14:paraId="5113D681" w14:textId="7641B5E3" w:rsidR="00EB179D" w:rsidRDefault="00EB179D" w:rsidP="00EC1FCF">
      <w:pPr>
        <w:pStyle w:val="BodyText"/>
      </w:pPr>
      <w:r>
        <w:t xml:space="preserve">In </w:t>
      </w:r>
      <w:r w:rsidR="00704579" w:rsidRPr="00704579">
        <w:t>R1-1912724</w:t>
      </w:r>
      <w:r>
        <w:t xml:space="preserve">, Ericsson points out that </w:t>
      </w:r>
      <w:r w:rsidRPr="00EB179D">
        <w:t>RAN2 has studied the impact of feeder/service link switch on higher layer protocols</w:t>
      </w:r>
      <w:r>
        <w:t xml:space="preserve"> and that i</w:t>
      </w:r>
      <w:r w:rsidRPr="00EB179D">
        <w:t>t is essential that the PHY layer design in NTN considers the impact of feeder/service link switch to ensure a smooth transition.</w:t>
      </w:r>
      <w:r>
        <w:t xml:space="preserve"> Ericsson suggests that </w:t>
      </w:r>
      <w:r w:rsidRPr="00EB179D">
        <w:t xml:space="preserve">RAN1 </w:t>
      </w:r>
      <w:r>
        <w:t>should</w:t>
      </w:r>
      <w:r w:rsidRPr="00EB179D">
        <w:t xml:space="preserve"> identify the impact of feeder/service link switch on NTN PHY layer and if necessary, study solutions to enhance PHY layer procedures, transmissions and receptions of physical channels and signals to cope with feeder/service link switch.</w:t>
      </w:r>
    </w:p>
    <w:p w14:paraId="51EBB63B" w14:textId="44E0E46B" w:rsidR="00FA3716" w:rsidRDefault="00FA3716" w:rsidP="00EC1FCF">
      <w:pPr>
        <w:pStyle w:val="BodyText"/>
      </w:pPr>
      <w:r>
        <w:t xml:space="preserve">In </w:t>
      </w:r>
      <w:r w:rsidRPr="00FA3716">
        <w:t>R1-1913131</w:t>
      </w:r>
      <w:r>
        <w:t>, Thales propose that Handover based solution to feeder link switch can be considered as the baseline for NTN.  Thales also further propose that the impacts of seamless feeder link switch and its impact on NTN PHY layer procedure can be discussed during WI phase.</w:t>
      </w:r>
    </w:p>
    <w:p w14:paraId="02A7B331" w14:textId="3137DEA8" w:rsidR="00FA3716" w:rsidRDefault="00FA3716" w:rsidP="00EC1FCF">
      <w:pPr>
        <w:pStyle w:val="BodyText"/>
      </w:pPr>
      <w:r>
        <w:t xml:space="preserve">Given the limited input from companies on this topic, the following conclusion is </w:t>
      </w:r>
      <w:r w:rsidR="0014333E">
        <w:t>proposed</w:t>
      </w:r>
      <w:r>
        <w:t xml:space="preserve"> to be captured in TR 38.821:</w:t>
      </w:r>
    </w:p>
    <w:p w14:paraId="4EA9C148" w14:textId="6A09DABB" w:rsidR="00E90124" w:rsidRPr="00A271EB" w:rsidRDefault="00A271EB" w:rsidP="00A271EB">
      <w:pPr>
        <w:pStyle w:val="BodyText"/>
        <w:rPr>
          <w:b/>
          <w:bCs/>
          <w:i/>
          <w:iCs/>
          <w:szCs w:val="20"/>
          <w:highlight w:val="yellow"/>
        </w:rPr>
      </w:pPr>
      <w:r w:rsidRPr="00A271EB">
        <w:rPr>
          <w:b/>
          <w:i/>
          <w:szCs w:val="20"/>
          <w:highlight w:val="yellow"/>
        </w:rPr>
        <w:t>Draft</w:t>
      </w:r>
      <w:r w:rsidR="005B19E6" w:rsidRPr="00A271EB">
        <w:rPr>
          <w:b/>
          <w:i/>
          <w:szCs w:val="20"/>
          <w:highlight w:val="yellow"/>
        </w:rPr>
        <w:t xml:space="preserve"> </w:t>
      </w:r>
      <w:r w:rsidR="00FA3716" w:rsidRPr="00A271EB">
        <w:rPr>
          <w:b/>
          <w:i/>
          <w:szCs w:val="20"/>
          <w:highlight w:val="yellow"/>
        </w:rPr>
        <w:t xml:space="preserve">Conclusion:  </w:t>
      </w:r>
      <w:r w:rsidR="00E90124" w:rsidRPr="00A271EB">
        <w:rPr>
          <w:b/>
          <w:bCs/>
          <w:i/>
          <w:iCs/>
          <w:szCs w:val="20"/>
          <w:highlight w:val="yellow"/>
        </w:rPr>
        <w:t>In case of feeder link switch, the following 2 cases should be distinguished:</w:t>
      </w:r>
    </w:p>
    <w:p w14:paraId="6168D54D" w14:textId="6EBDA9A9" w:rsidR="00E90124" w:rsidRPr="00A271EB" w:rsidRDefault="00E90124" w:rsidP="00E90124">
      <w:pPr>
        <w:pStyle w:val="ListParagraph"/>
        <w:numPr>
          <w:ilvl w:val="0"/>
          <w:numId w:val="43"/>
        </w:numPr>
        <w:contextualSpacing w:val="0"/>
        <w:rPr>
          <w:b/>
          <w:bCs/>
          <w:i/>
          <w:iCs/>
          <w:szCs w:val="20"/>
          <w:highlight w:val="yellow"/>
          <w:lang w:eastAsia="fr-FR"/>
        </w:rPr>
      </w:pPr>
      <w:r w:rsidRPr="00A271EB">
        <w:rPr>
          <w:b/>
          <w:bCs/>
          <w:i/>
          <w:iCs/>
          <w:szCs w:val="20"/>
          <w:highlight w:val="yellow"/>
          <w:lang w:eastAsia="fr-FR"/>
        </w:rPr>
        <w:t xml:space="preserve">Soft feeder link switch (2 feeder links provided simultaneously) where existing hand-over procedure could be used. Possible enhancements could be considered when </w:t>
      </w:r>
      <w:r w:rsidR="00A271EB" w:rsidRPr="00A271EB">
        <w:rPr>
          <w:b/>
          <w:bCs/>
          <w:i/>
          <w:iCs/>
          <w:szCs w:val="20"/>
          <w:highlight w:val="yellow"/>
          <w:lang w:eastAsia="fr-FR"/>
        </w:rPr>
        <w:t>specifications</w:t>
      </w:r>
      <w:r w:rsidRPr="00A271EB">
        <w:rPr>
          <w:b/>
          <w:bCs/>
          <w:i/>
          <w:iCs/>
          <w:szCs w:val="20"/>
          <w:highlight w:val="yellow"/>
          <w:lang w:eastAsia="fr-FR"/>
        </w:rPr>
        <w:t xml:space="preserve"> are being developed.</w:t>
      </w:r>
    </w:p>
    <w:p w14:paraId="0DCBC544" w14:textId="093629E0" w:rsidR="00E90124" w:rsidRPr="00A271EB" w:rsidRDefault="00E90124" w:rsidP="00E90124">
      <w:pPr>
        <w:pStyle w:val="ListParagraph"/>
        <w:numPr>
          <w:ilvl w:val="0"/>
          <w:numId w:val="43"/>
        </w:numPr>
        <w:contextualSpacing w:val="0"/>
        <w:rPr>
          <w:b/>
          <w:bCs/>
          <w:i/>
          <w:iCs/>
          <w:szCs w:val="20"/>
          <w:highlight w:val="yellow"/>
          <w:lang w:eastAsia="fr-FR"/>
        </w:rPr>
      </w:pPr>
      <w:r w:rsidRPr="00A271EB">
        <w:rPr>
          <w:b/>
          <w:bCs/>
          <w:i/>
          <w:iCs/>
          <w:szCs w:val="20"/>
          <w:highlight w:val="yellow"/>
          <w:lang w:eastAsia="fr-FR"/>
        </w:rPr>
        <w:t xml:space="preserve">Hard feeder link switch (1 feeder link provided at a time) where PHY impacts should </w:t>
      </w:r>
      <w:r w:rsidR="00A271EB" w:rsidRPr="00A271EB">
        <w:rPr>
          <w:b/>
          <w:bCs/>
          <w:i/>
          <w:iCs/>
          <w:szCs w:val="20"/>
          <w:highlight w:val="yellow"/>
          <w:lang w:eastAsia="fr-FR"/>
        </w:rPr>
        <w:t>discussed when specifications are being developed.</w:t>
      </w:r>
    </w:p>
    <w:p w14:paraId="5D5B7075" w14:textId="77777777" w:rsidR="00E90124" w:rsidRPr="00A271EB" w:rsidRDefault="00E90124" w:rsidP="00E90124">
      <w:pPr>
        <w:rPr>
          <w:b/>
          <w:bCs/>
          <w:i/>
          <w:iCs/>
          <w:szCs w:val="20"/>
          <w:highlight w:val="yellow"/>
        </w:rPr>
      </w:pPr>
      <w:r w:rsidRPr="00A271EB">
        <w:rPr>
          <w:b/>
          <w:bCs/>
          <w:i/>
          <w:iCs/>
          <w:szCs w:val="20"/>
          <w:highlight w:val="yellow"/>
        </w:rPr>
        <w:t>Impacts of feeder link switch on physical layer has not been studied in SI.</w:t>
      </w:r>
    </w:p>
    <w:p w14:paraId="25449E0E" w14:textId="77777777" w:rsidR="00FA3716" w:rsidRDefault="00FA3716" w:rsidP="00EC1FCF">
      <w:pPr>
        <w:pStyle w:val="BodyText"/>
      </w:pPr>
    </w:p>
    <w:p w14:paraId="7C85D2F8" w14:textId="3ED56970" w:rsidR="00EB179D" w:rsidRDefault="00EB179D" w:rsidP="00EB179D">
      <w:pPr>
        <w:pStyle w:val="BodyText"/>
      </w:pPr>
      <w:r>
        <w:t>Companies are encouraged to provide their views on this issue.</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B179D" w:rsidRPr="00E75207" w14:paraId="5EF6BE24" w14:textId="77777777" w:rsidTr="00CF0A0D">
        <w:tc>
          <w:tcPr>
            <w:tcW w:w="2335" w:type="dxa"/>
            <w:tcBorders>
              <w:top w:val="single" w:sz="4" w:space="0" w:color="auto"/>
              <w:left w:val="single" w:sz="4" w:space="0" w:color="auto"/>
              <w:bottom w:val="single" w:sz="4" w:space="0" w:color="auto"/>
              <w:right w:val="single" w:sz="4" w:space="0" w:color="auto"/>
            </w:tcBorders>
            <w:vAlign w:val="center"/>
            <w:hideMark/>
          </w:tcPr>
          <w:p w14:paraId="34FB696F" w14:textId="77777777" w:rsidR="00EB179D" w:rsidRPr="003A7A03" w:rsidRDefault="00EB179D" w:rsidP="00CF0A0D">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C088C2F" w14:textId="77777777" w:rsidR="00EB179D" w:rsidRPr="003A7A03" w:rsidRDefault="00EB179D" w:rsidP="00CF0A0D">
            <w:pPr>
              <w:jc w:val="center"/>
              <w:rPr>
                <w:b/>
                <w:sz w:val="28"/>
                <w:lang w:eastAsia="zh-CN"/>
              </w:rPr>
            </w:pPr>
            <w:r w:rsidRPr="003A7A03">
              <w:rPr>
                <w:b/>
                <w:sz w:val="22"/>
                <w:lang w:eastAsia="zh-CN"/>
              </w:rPr>
              <w:t>Comments and Views</w:t>
            </w:r>
          </w:p>
        </w:tc>
      </w:tr>
      <w:tr w:rsidR="00B44A30" w:rsidRPr="00E75207" w14:paraId="40170608"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EC0E382" w14:textId="1C5B4C07" w:rsidR="00B44A30" w:rsidRPr="003A7A03" w:rsidRDefault="00EF0D5C" w:rsidP="00CF0A0D">
            <w:pPr>
              <w:jc w:val="center"/>
              <w:rPr>
                <w:rFonts w:cs="Arial"/>
              </w:rPr>
            </w:pPr>
            <w:r>
              <w:rPr>
                <w:rFonts w:cs="Arial"/>
              </w:rPr>
              <w:t>Nokia, NSB</w:t>
            </w:r>
          </w:p>
        </w:tc>
        <w:tc>
          <w:tcPr>
            <w:tcW w:w="6840" w:type="dxa"/>
            <w:tcBorders>
              <w:top w:val="single" w:sz="4" w:space="0" w:color="auto"/>
              <w:left w:val="single" w:sz="4" w:space="0" w:color="auto"/>
              <w:bottom w:val="single" w:sz="4" w:space="0" w:color="auto"/>
              <w:right w:val="single" w:sz="4" w:space="0" w:color="auto"/>
            </w:tcBorders>
            <w:vAlign w:val="center"/>
          </w:tcPr>
          <w:p w14:paraId="200FA18D" w14:textId="77777777" w:rsidR="00EF0D5C" w:rsidRDefault="00EF0D5C" w:rsidP="00EF0D5C">
            <w:pPr>
              <w:rPr>
                <w:szCs w:val="22"/>
                <w:lang w:val="en-GB"/>
              </w:rPr>
            </w:pPr>
            <w:r>
              <w:rPr>
                <w:lang w:val="en-GB"/>
              </w:rPr>
              <w:t>Regarding the impact of feeder link switch on physical layer procedures, since RAN1 has not studied in detail and moreover the discussion about the detailed solutions for feeder link switch is mainly in RAN2/RAN3, we prefer to keep the corresponding conclusion simple and further discuss it during the work item phase as follows</w:t>
            </w:r>
          </w:p>
          <w:p w14:paraId="12B56D5A" w14:textId="77777777" w:rsidR="00EF0D5C" w:rsidRDefault="00EF0D5C" w:rsidP="00EF0D5C">
            <w:pPr>
              <w:rPr>
                <w:lang w:val="en-GB"/>
              </w:rPr>
            </w:pPr>
          </w:p>
          <w:p w14:paraId="5530C1FA" w14:textId="77777777" w:rsidR="00EF0D5C" w:rsidRDefault="00EF0D5C" w:rsidP="00EF0D5C">
            <w:pPr>
              <w:pStyle w:val="ListParagraph"/>
              <w:numPr>
                <w:ilvl w:val="0"/>
                <w:numId w:val="44"/>
              </w:numPr>
              <w:contextualSpacing w:val="0"/>
              <w:rPr>
                <w:rFonts w:eastAsia="Times New Roman"/>
                <w:lang w:val="en-GB"/>
              </w:rPr>
            </w:pPr>
            <w:r>
              <w:rPr>
                <w:rFonts w:eastAsia="Times New Roman"/>
                <w:lang w:val="en-GB"/>
              </w:rPr>
              <w:t>Offline Conclusion 8:  Impacts of feeder link switch on physical layer procedures have not been studied in detail during SI but can be further discussed during the work item phase.</w:t>
            </w:r>
          </w:p>
          <w:p w14:paraId="1282D44B" w14:textId="4B99C161" w:rsidR="00B44A30" w:rsidRPr="003A7A03" w:rsidRDefault="00B44A30" w:rsidP="001C779A">
            <w:pPr>
              <w:autoSpaceDE w:val="0"/>
              <w:autoSpaceDN w:val="0"/>
              <w:adjustRightInd w:val="0"/>
              <w:snapToGrid w:val="0"/>
              <w:ind w:left="360"/>
            </w:pPr>
          </w:p>
        </w:tc>
      </w:tr>
      <w:tr w:rsidR="00EB179D" w:rsidRPr="00E75207" w14:paraId="768C38AA"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AE94777"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26778A6" w14:textId="77777777" w:rsidR="00EB179D" w:rsidRPr="003A7A03" w:rsidRDefault="00EB179D" w:rsidP="00CF0A0D">
            <w:pPr>
              <w:autoSpaceDE w:val="0"/>
              <w:autoSpaceDN w:val="0"/>
              <w:adjustRightInd w:val="0"/>
              <w:snapToGrid w:val="0"/>
              <w:ind w:left="360"/>
            </w:pPr>
          </w:p>
        </w:tc>
      </w:tr>
      <w:tr w:rsidR="00EB179D" w:rsidRPr="00E75207" w14:paraId="5641F933"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C66D315"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FBCBA41" w14:textId="77777777" w:rsidR="00EB179D" w:rsidRPr="003A7A03" w:rsidRDefault="00EB179D" w:rsidP="00CF0A0D">
            <w:pPr>
              <w:autoSpaceDE w:val="0"/>
              <w:autoSpaceDN w:val="0"/>
              <w:adjustRightInd w:val="0"/>
              <w:snapToGrid w:val="0"/>
              <w:ind w:left="360"/>
            </w:pPr>
          </w:p>
        </w:tc>
      </w:tr>
      <w:tr w:rsidR="00EB179D" w:rsidRPr="00E75207" w14:paraId="047CE84A"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C01EC19"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0CB5B5E" w14:textId="77777777" w:rsidR="00EB179D" w:rsidRPr="003A7A03" w:rsidRDefault="00EB179D" w:rsidP="00CF0A0D">
            <w:pPr>
              <w:autoSpaceDE w:val="0"/>
              <w:autoSpaceDN w:val="0"/>
              <w:adjustRightInd w:val="0"/>
              <w:snapToGrid w:val="0"/>
              <w:ind w:left="360"/>
            </w:pPr>
          </w:p>
        </w:tc>
      </w:tr>
      <w:tr w:rsidR="00EB179D" w:rsidRPr="00E75207" w14:paraId="3307F11B"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46E808C5"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EA535A6" w14:textId="77777777" w:rsidR="00EB179D" w:rsidRPr="003A7A03" w:rsidRDefault="00EB179D" w:rsidP="00CF0A0D">
            <w:pPr>
              <w:autoSpaceDE w:val="0"/>
              <w:autoSpaceDN w:val="0"/>
              <w:adjustRightInd w:val="0"/>
              <w:snapToGrid w:val="0"/>
              <w:ind w:left="360"/>
            </w:pPr>
          </w:p>
        </w:tc>
      </w:tr>
    </w:tbl>
    <w:p w14:paraId="0FA8239F" w14:textId="12533697" w:rsidR="00EB179D" w:rsidRDefault="00EB179D" w:rsidP="00EC1FCF">
      <w:pPr>
        <w:pStyle w:val="BodyText"/>
      </w:pPr>
    </w:p>
    <w:p w14:paraId="06EA7285" w14:textId="0C428545" w:rsidR="004520CB" w:rsidRDefault="00AD6929" w:rsidP="00AD6929">
      <w:pPr>
        <w:pStyle w:val="Heading1"/>
      </w:pPr>
      <w:r>
        <w:t>References</w:t>
      </w:r>
    </w:p>
    <w:p w14:paraId="7547561B" w14:textId="3FA6A010" w:rsidR="00A85F23" w:rsidRDefault="00AD6929" w:rsidP="00A85F23">
      <w:pPr>
        <w:pStyle w:val="References"/>
      </w:pPr>
      <w:bookmarkStart w:id="6" w:name="_Ref5265092"/>
      <w:r>
        <w:t>RP-1</w:t>
      </w:r>
      <w:r w:rsidR="00CC4C5B">
        <w:t>90710</w:t>
      </w:r>
      <w:r>
        <w:t>, “</w:t>
      </w:r>
      <w:r w:rsidRPr="00211495">
        <w:t>SID NR-NTN solutions_v6</w:t>
      </w:r>
      <w:r w:rsidR="00CC4C5B">
        <w:t>1</w:t>
      </w:r>
      <w:r>
        <w:t>”</w:t>
      </w:r>
      <w:r w:rsidRPr="00922B24">
        <w:t>.</w:t>
      </w:r>
      <w:bookmarkEnd w:id="6"/>
    </w:p>
    <w:p w14:paraId="7657499F" w14:textId="77777777" w:rsidR="008922B9" w:rsidRPr="00A85F23" w:rsidRDefault="008922B9" w:rsidP="008922B9">
      <w:pPr>
        <w:pStyle w:val="References"/>
        <w:numPr>
          <w:ilvl w:val="0"/>
          <w:numId w:val="0"/>
        </w:numPr>
        <w:ind w:left="360"/>
      </w:pPr>
    </w:p>
    <w:p w14:paraId="2E810611" w14:textId="113902E7" w:rsidR="00416DEC" w:rsidRPr="005A7535" w:rsidRDefault="00416DEC" w:rsidP="00C25ED8">
      <w:pPr>
        <w:pStyle w:val="Heading1"/>
      </w:pPr>
      <w:bookmarkStart w:id="7" w:name="_Ref5582265"/>
      <w:r w:rsidRPr="005A7535">
        <w:t>Appendix: Proposals in the summarized contributions</w:t>
      </w:r>
      <w:bookmarkEnd w:id="7"/>
    </w:p>
    <w:p w14:paraId="5A5BECA2" w14:textId="77777777" w:rsidR="00F76C98" w:rsidRPr="00012151" w:rsidRDefault="00F76C98" w:rsidP="0092598B">
      <w:pPr>
        <w:pStyle w:val="BodyText"/>
      </w:pPr>
    </w:p>
    <w:p w14:paraId="24BD4A04" w14:textId="3C8E41DD" w:rsidR="00580F1D" w:rsidRDefault="00580F1D" w:rsidP="00580F1D">
      <w:pPr>
        <w:pStyle w:val="Heading2"/>
      </w:pPr>
      <w:r w:rsidRPr="00DC132E">
        <w:t>Proposals on Uplink Transmission Timing</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12151" w:rsidRPr="00F22805" w14:paraId="30C8D51B"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3E0AB0F2" w14:textId="77777777" w:rsidR="00012151" w:rsidRPr="00F22805" w:rsidRDefault="00012151" w:rsidP="00EC4C48">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B330EBA" w14:textId="77777777" w:rsidR="00012151" w:rsidRPr="00F22805" w:rsidRDefault="00012151" w:rsidP="00EC4C48">
            <w:pPr>
              <w:jc w:val="center"/>
              <w:rPr>
                <w:b/>
                <w:sz w:val="28"/>
                <w:lang w:eastAsia="zh-CN"/>
              </w:rPr>
            </w:pPr>
            <w:r w:rsidRPr="00F22805">
              <w:rPr>
                <w:b/>
                <w:sz w:val="22"/>
                <w:lang w:eastAsia="zh-CN"/>
              </w:rPr>
              <w:t>Proposal</w:t>
            </w:r>
          </w:p>
        </w:tc>
      </w:tr>
      <w:tr w:rsidR="00012151" w:rsidRPr="001F1E06" w14:paraId="06562011"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3A436FD" w14:textId="2A1D8BD4" w:rsidR="00012151" w:rsidRPr="00530C96" w:rsidRDefault="00DA5534" w:rsidP="00EC4C48">
            <w:pPr>
              <w:jc w:val="center"/>
              <w:rPr>
                <w:rFonts w:cs="Arial"/>
                <w:color w:val="FF0000"/>
              </w:rPr>
            </w:pPr>
            <w:r w:rsidRPr="00DA5534">
              <w:rPr>
                <w:rFonts w:cs="Arial"/>
              </w:rPr>
              <w:t>Asia Pacific Telecom (R1-1912246)</w:t>
            </w:r>
          </w:p>
        </w:tc>
        <w:tc>
          <w:tcPr>
            <w:tcW w:w="6840" w:type="dxa"/>
            <w:tcBorders>
              <w:top w:val="single" w:sz="4" w:space="0" w:color="auto"/>
              <w:left w:val="single" w:sz="4" w:space="0" w:color="auto"/>
              <w:bottom w:val="single" w:sz="4" w:space="0" w:color="auto"/>
              <w:right w:val="single" w:sz="4" w:space="0" w:color="auto"/>
            </w:tcBorders>
            <w:vAlign w:val="center"/>
          </w:tcPr>
          <w:p w14:paraId="5D221CB7" w14:textId="77777777" w:rsidR="00DA5534" w:rsidRPr="00DA5534" w:rsidRDefault="00DA5534" w:rsidP="00DA5534">
            <w:pPr>
              <w:pStyle w:val="Proposal"/>
              <w:tabs>
                <w:tab w:val="clear" w:pos="1701"/>
                <w:tab w:val="num" w:pos="1304"/>
                <w:tab w:val="num" w:leader="heavy" w:pos="2725"/>
              </w:tabs>
              <w:overflowPunct w:val="0"/>
              <w:autoSpaceDE w:val="0"/>
              <w:autoSpaceDN w:val="0"/>
              <w:adjustRightInd w:val="0"/>
              <w:spacing w:after="120" w:line="240" w:lineRule="auto"/>
              <w:ind w:left="1304" w:hanging="1304"/>
              <w:jc w:val="both"/>
              <w:textAlignment w:val="baseline"/>
              <w:rPr>
                <w:rFonts w:ascii="Times New Roman" w:eastAsiaTheme="minorEastAsia" w:hAnsi="Times New Roman" w:cs="Times New Roman"/>
                <w:b w:val="0"/>
                <w:i/>
                <w:lang w:eastAsia="zh-TW"/>
              </w:rPr>
            </w:pPr>
            <w:bookmarkStart w:id="8" w:name="_Toc24036164"/>
            <w:r w:rsidRPr="00DA5534">
              <w:rPr>
                <w:rFonts w:ascii="Times New Roman" w:eastAsiaTheme="minorEastAsia" w:hAnsi="Times New Roman" w:cs="Times New Roman"/>
                <w:b w:val="0"/>
                <w:i/>
                <w:lang w:eastAsia="zh-TW"/>
              </w:rPr>
              <w:t>Revise the RAN1#98-Bis agreement by specifying slot n as “UL slot n”.</w:t>
            </w:r>
            <w:bookmarkEnd w:id="8"/>
          </w:p>
          <w:p w14:paraId="00B49192" w14:textId="77777777" w:rsidR="00DA5534" w:rsidRPr="00DA5534" w:rsidRDefault="00DA5534" w:rsidP="00DA5534">
            <w:pPr>
              <w:rPr>
                <w:i/>
                <w:lang w:eastAsia="zh-TW"/>
              </w:rPr>
            </w:pPr>
            <w:r w:rsidRPr="00DA5534">
              <w:rPr>
                <w:i/>
                <w:lang w:eastAsia="zh-TW"/>
              </w:rPr>
              <w:t>Based on our proposal, the agreement can be revised as follows:</w:t>
            </w:r>
          </w:p>
          <w:tbl>
            <w:tblPr>
              <w:tblStyle w:val="TableGrid"/>
              <w:tblW w:w="0" w:type="auto"/>
              <w:tblLook w:val="04A0" w:firstRow="1" w:lastRow="0" w:firstColumn="1" w:lastColumn="0" w:noHBand="0" w:noVBand="1"/>
            </w:tblPr>
            <w:tblGrid>
              <w:gridCol w:w="6614"/>
            </w:tblGrid>
            <w:tr w:rsidR="00DA5534" w:rsidRPr="00DA5534" w14:paraId="43E83742" w14:textId="77777777" w:rsidTr="002801F4">
              <w:tc>
                <w:tcPr>
                  <w:tcW w:w="9350" w:type="dxa"/>
                </w:tcPr>
                <w:p w14:paraId="2A412F89" w14:textId="77777777" w:rsidR="00DA5534" w:rsidRPr="00DA5534" w:rsidRDefault="00DA5534" w:rsidP="00DA5534">
                  <w:pPr>
                    <w:spacing w:before="120"/>
                    <w:rPr>
                      <w:bCs/>
                      <w:i/>
                    </w:rPr>
                  </w:pPr>
                  <w:r w:rsidRPr="00DA5534">
                    <w:rPr>
                      <w:i/>
                    </w:rPr>
                    <w:t>CR for the Agreement in RAN1#98-Bis</w:t>
                  </w:r>
                </w:p>
                <w:p w14:paraId="21C955AB" w14:textId="0499C862" w:rsidR="00DA5534" w:rsidRPr="00DA5534" w:rsidRDefault="00DA5534" w:rsidP="00DA5534">
                  <w:pPr>
                    <w:pStyle w:val="ListParagraph"/>
                    <w:numPr>
                      <w:ilvl w:val="0"/>
                      <w:numId w:val="38"/>
                    </w:numPr>
                    <w:snapToGrid w:val="0"/>
                    <w:spacing w:after="120"/>
                    <w:jc w:val="both"/>
                    <w:rPr>
                      <w:i/>
                      <w:lang w:eastAsia="zh-TW"/>
                    </w:rPr>
                  </w:pPr>
                  <w:bookmarkStart w:id="9" w:name="_Hlk24036149"/>
                  <w:r w:rsidRPr="00DA5534">
                    <w:rPr>
                      <w:rFonts w:eastAsiaTheme="minorEastAsia"/>
                      <w:i/>
                      <w:szCs w:val="20"/>
                      <w:lang w:eastAsia="zh-CN"/>
                    </w:rPr>
                    <w:t xml:space="preserve">When the HARQ-ACK corresponding to a PDSCH carrying a MAC-CE command is transmitted </w:t>
                  </w:r>
                  <w:r w:rsidRPr="00DA5534">
                    <w:rPr>
                      <w:rFonts w:eastAsiaTheme="minorEastAsia"/>
                      <w:i/>
                      <w:szCs w:val="20"/>
                      <w:highlight w:val="yellow"/>
                      <w:lang w:eastAsia="zh-CN"/>
                    </w:rPr>
                    <w:t xml:space="preserve">in </w:t>
                  </w:r>
                  <w:r w:rsidRPr="00DA5534">
                    <w:rPr>
                      <w:rFonts w:eastAsiaTheme="minorEastAsia"/>
                      <w:bCs/>
                      <w:i/>
                      <w:szCs w:val="20"/>
                      <w:highlight w:val="yellow"/>
                      <w:lang w:eastAsia="zh-CN"/>
                    </w:rPr>
                    <w:t>UL</w:t>
                  </w:r>
                  <w:r w:rsidRPr="00DA5534">
                    <w:rPr>
                      <w:rFonts w:eastAsiaTheme="minorEastAsia"/>
                      <w:i/>
                      <w:szCs w:val="20"/>
                      <w:highlight w:val="yellow"/>
                      <w:lang w:eastAsia="zh-CN"/>
                    </w:rPr>
                    <w:t xml:space="preserve"> slot n</w:t>
                  </w:r>
                  <w:r w:rsidRPr="00DA5534">
                    <w:rPr>
                      <w:rFonts w:eastAsiaTheme="minorEastAsia"/>
                      <w:i/>
                      <w:szCs w:val="20"/>
                      <w:lang w:eastAsia="zh-CN"/>
                    </w:rPr>
                    <w:t xml:space="preserve">, the corresponding action and the UE assumption on the downlink configuration indicated by the MAC-CE command shall be applied starting from the first slot that is after slot </w:t>
                  </w:r>
                  <m:oMath>
                    <m:r>
                      <w:rPr>
                        <w:rFonts w:ascii="Cambria Math" w:eastAsiaTheme="minorEastAsia" w:hAnsi="Cambria Math"/>
                        <w:szCs w:val="20"/>
                        <w:lang w:eastAsia="zh-CN"/>
                      </w:rPr>
                      <m:t>n+</m:t>
                    </m:r>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XN</m:t>
                        </m:r>
                      </m:e>
                      <m:sub>
                        <m:r>
                          <w:rPr>
                            <w:rFonts w:ascii="Cambria Math" w:eastAsiaTheme="minorEastAsia" w:hAnsi="Cambria Math"/>
                            <w:szCs w:val="20"/>
                            <w:lang w:eastAsia="zh-CN"/>
                          </w:rPr>
                          <m:t>slot</m:t>
                        </m:r>
                      </m:sub>
                      <m:sup>
                        <m:r>
                          <w:rPr>
                            <w:rFonts w:ascii="Cambria Math" w:eastAsiaTheme="minorEastAsia" w:hAnsi="Cambria Math"/>
                            <w:szCs w:val="20"/>
                            <w:lang w:eastAsia="zh-CN"/>
                          </w:rPr>
                          <m:t>subframe,µ</m:t>
                        </m:r>
                      </m:sup>
                    </m:sSubSup>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offset</m:t>
                        </m:r>
                      </m:sub>
                    </m:sSub>
                    <m:r>
                      <w:rPr>
                        <w:rFonts w:ascii="Cambria Math" w:eastAsiaTheme="minorEastAsia" w:hAnsi="Cambria Math"/>
                        <w:szCs w:val="20"/>
                        <w:lang w:eastAsia="zh-CN"/>
                      </w:rPr>
                      <m:t> </m:t>
                    </m:r>
                  </m:oMath>
                  <w:r w:rsidRPr="00DA5534">
                    <w:rPr>
                      <w:rFonts w:eastAsiaTheme="minorEastAsia"/>
                      <w:i/>
                      <w:szCs w:val="20"/>
                      <w:lang w:eastAsia="zh-CN"/>
                    </w:rPr>
                    <w:t>(X can be determined when specifications are developed).</w:t>
                  </w:r>
                  <w:bookmarkEnd w:id="9"/>
                </w:p>
              </w:tc>
            </w:tr>
          </w:tbl>
          <w:p w14:paraId="1E167D6A" w14:textId="77777777" w:rsidR="00DA5534" w:rsidRPr="00DA5534" w:rsidRDefault="00DA5534" w:rsidP="00DA5534">
            <w:pPr>
              <w:pStyle w:val="Observation"/>
              <w:numPr>
                <w:ilvl w:val="0"/>
                <w:numId w:val="0"/>
              </w:numPr>
              <w:rPr>
                <w:rFonts w:ascii="Times New Roman" w:hAnsi="Times New Roman" w:cs="Times New Roman"/>
                <w:b w:val="0"/>
                <w:i/>
              </w:rPr>
            </w:pPr>
            <w:bookmarkStart w:id="10" w:name="_Toc24036150"/>
          </w:p>
          <w:p w14:paraId="02FD6E66" w14:textId="14849540" w:rsidR="00DA5534" w:rsidRPr="00DA5534" w:rsidRDefault="00DA5534" w:rsidP="00DA5534">
            <w:pPr>
              <w:pStyle w:val="Observation"/>
              <w:numPr>
                <w:ilvl w:val="0"/>
                <w:numId w:val="0"/>
              </w:numPr>
              <w:rPr>
                <w:rFonts w:ascii="Times New Roman" w:hAnsi="Times New Roman" w:cs="Times New Roman"/>
                <w:b w:val="0"/>
                <w:i/>
              </w:rPr>
            </w:pPr>
            <w:r w:rsidRPr="00DA5534">
              <w:rPr>
                <w:rFonts w:ascii="Times New Roman" w:hAnsi="Times New Roman" w:cs="Times New Roman"/>
                <w:b w:val="0"/>
                <w:i/>
              </w:rPr>
              <w:t xml:space="preserve">Observation </w:t>
            </w:r>
            <w:proofErr w:type="gramStart"/>
            <w:r w:rsidRPr="00DA5534">
              <w:rPr>
                <w:rFonts w:ascii="Times New Roman" w:hAnsi="Times New Roman" w:cs="Times New Roman"/>
                <w:b w:val="0"/>
                <w:i/>
              </w:rPr>
              <w:t>1  For</w:t>
            </w:r>
            <w:proofErr w:type="gramEnd"/>
            <w:r w:rsidRPr="00DA5534">
              <w:rPr>
                <w:rFonts w:ascii="Times New Roman" w:hAnsi="Times New Roman" w:cs="Times New Roman"/>
                <w:b w:val="0"/>
                <w:i/>
              </w:rPr>
              <w:t xml:space="preserve"> LEO-600km with transparent payloads, UE may apply a MAC-CE command 15ms later than NW receives the corresponding HARQ feedback.</w:t>
            </w:r>
            <w:bookmarkEnd w:id="10"/>
          </w:p>
          <w:p w14:paraId="770ABDCA" w14:textId="3B00D402" w:rsidR="00DA5534" w:rsidRPr="00DA5534" w:rsidRDefault="00DA5534" w:rsidP="00DA5534">
            <w:pPr>
              <w:pStyle w:val="Proposal"/>
              <w:tabs>
                <w:tab w:val="clear" w:pos="1701"/>
                <w:tab w:val="num" w:pos="1304"/>
                <w:tab w:val="num" w:leader="heavy" w:pos="2725"/>
              </w:tabs>
              <w:overflowPunct w:val="0"/>
              <w:autoSpaceDE w:val="0"/>
              <w:autoSpaceDN w:val="0"/>
              <w:adjustRightInd w:val="0"/>
              <w:spacing w:after="120" w:line="240" w:lineRule="auto"/>
              <w:ind w:left="1304" w:hanging="1304"/>
              <w:jc w:val="both"/>
              <w:textAlignment w:val="baseline"/>
              <w:rPr>
                <w:rFonts w:ascii="Times New Roman" w:hAnsi="Times New Roman" w:cs="Times New Roman"/>
                <w:b w:val="0"/>
                <w:i/>
              </w:rPr>
            </w:pPr>
            <w:bookmarkStart w:id="11" w:name="_Toc24036165"/>
            <w:r w:rsidRPr="00DA5534">
              <w:rPr>
                <w:rFonts w:ascii="Times New Roman" w:hAnsi="Times New Roman" w:cs="Times New Roman"/>
                <w:b w:val="0"/>
                <w:i/>
              </w:rPr>
              <w:t>When the HARQ-ACK corresponding to a PDSCH carrying a MAC-CE command is transmitted in UL slot n, the corresponding action and the UE assumption on the downlink configuration indicated by the MAC-CE command shall be applied starting from the first slot that is after slot n + X, where X is FFS.</w:t>
            </w:r>
            <w:bookmarkEnd w:id="11"/>
          </w:p>
          <w:p w14:paraId="6DDE5B01" w14:textId="3D5B6A53" w:rsidR="00012151" w:rsidRPr="00DA5534" w:rsidRDefault="00012151" w:rsidP="00EC4C48">
            <w:pPr>
              <w:autoSpaceDE w:val="0"/>
              <w:autoSpaceDN w:val="0"/>
              <w:adjustRightInd w:val="0"/>
              <w:snapToGrid w:val="0"/>
              <w:spacing w:before="120" w:after="120"/>
              <w:rPr>
                <w:i/>
                <w:color w:val="FF0000"/>
              </w:rPr>
            </w:pPr>
          </w:p>
        </w:tc>
      </w:tr>
      <w:tr w:rsidR="00012151" w:rsidRPr="001F1E06" w14:paraId="0FAAA53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118D277" w14:textId="5872F2EA" w:rsidR="00012151" w:rsidRPr="0082245D" w:rsidRDefault="0082245D" w:rsidP="00EC4C48">
            <w:pPr>
              <w:jc w:val="center"/>
              <w:rPr>
                <w:rFonts w:cs="Arial"/>
              </w:rPr>
            </w:pPr>
            <w:r w:rsidRPr="0082245D">
              <w:rPr>
                <w:rFonts w:cs="Arial"/>
              </w:rPr>
              <w:t>CMCC (R1-1912535)</w:t>
            </w:r>
          </w:p>
        </w:tc>
        <w:tc>
          <w:tcPr>
            <w:tcW w:w="6840" w:type="dxa"/>
            <w:tcBorders>
              <w:top w:val="single" w:sz="4" w:space="0" w:color="auto"/>
              <w:left w:val="single" w:sz="4" w:space="0" w:color="auto"/>
              <w:bottom w:val="single" w:sz="4" w:space="0" w:color="auto"/>
              <w:right w:val="single" w:sz="4" w:space="0" w:color="auto"/>
            </w:tcBorders>
            <w:vAlign w:val="center"/>
          </w:tcPr>
          <w:p w14:paraId="36BF157D" w14:textId="0D6AD9DC" w:rsidR="0082245D" w:rsidRPr="003B7AD2" w:rsidRDefault="0082245D" w:rsidP="0082245D">
            <w:pPr>
              <w:spacing w:beforeLines="50" w:before="120" w:afterLines="50" w:after="120"/>
              <w:rPr>
                <w:bCs/>
                <w:i/>
                <w:szCs w:val="20"/>
              </w:rPr>
            </w:pPr>
            <w:r w:rsidRPr="003B7AD2">
              <w:rPr>
                <w:i/>
                <w:szCs w:val="20"/>
              </w:rPr>
              <w:t xml:space="preserve">Proposal 1: </w:t>
            </w:r>
            <w:r w:rsidRPr="003B7AD2">
              <w:rPr>
                <w:bCs/>
                <w:i/>
                <w:szCs w:val="20"/>
              </w:rPr>
              <w:t>Default timing offset (</w:t>
            </w:r>
            <m:oMath>
              <m:sSubSup>
                <m:sSubSupPr>
                  <m:ctrlPr>
                    <w:rPr>
                      <w:rFonts w:ascii="Cambria Math" w:hAnsi="Cambria Math"/>
                      <w:bCs/>
                      <w:i/>
                      <w:szCs w:val="20"/>
                    </w:rPr>
                  </m:ctrlPr>
                </m:sSubSupPr>
                <m:e>
                  <m:r>
                    <w:rPr>
                      <w:rFonts w:ascii="Cambria Math" w:hAnsi="Cambria Math"/>
                      <w:szCs w:val="20"/>
                    </w:rPr>
                    <m:t>K</m:t>
                  </m:r>
                </m:e>
                <m:sub>
                  <m:r>
                    <w:rPr>
                      <w:rFonts w:ascii="Cambria Math" w:hAnsi="Cambria Math"/>
                      <w:szCs w:val="20"/>
                    </w:rPr>
                    <m:t>offset</m:t>
                  </m:r>
                </m:sub>
                <m:sup>
                  <m:r>
                    <w:rPr>
                      <w:rFonts w:ascii="Cambria Math" w:hAnsi="Cambria Math"/>
                      <w:szCs w:val="20"/>
                    </w:rPr>
                    <m:t>default</m:t>
                  </m:r>
                </m:sup>
              </m:sSubSup>
            </m:oMath>
            <w:r w:rsidRPr="003B7AD2">
              <w:rPr>
                <w:bCs/>
                <w:i/>
                <w:szCs w:val="20"/>
              </w:rPr>
              <w:t>), which is only determined by common TA, can be used for random access procedure.</w:t>
            </w:r>
          </w:p>
          <w:p w14:paraId="5BA81BA6" w14:textId="0376AA68" w:rsidR="0082245D" w:rsidRPr="003B7AD2" w:rsidRDefault="0082245D" w:rsidP="0082245D">
            <w:pPr>
              <w:spacing w:beforeLines="50" w:before="120" w:afterLines="50" w:after="120"/>
              <w:rPr>
                <w:bCs/>
                <w:i/>
                <w:szCs w:val="20"/>
              </w:rPr>
            </w:pPr>
            <w:r w:rsidRPr="003B7AD2">
              <w:rPr>
                <w:i/>
                <w:szCs w:val="20"/>
              </w:rPr>
              <w:t xml:space="preserve">Proposal 2: </w:t>
            </w:r>
            <w:r w:rsidRPr="003B7AD2">
              <w:rPr>
                <w:bCs/>
                <w:i/>
                <w:szCs w:val="20"/>
              </w:rPr>
              <w:t>After RRC connection setup, UE specified timing offset (</w:t>
            </w:r>
            <m:oMath>
              <m:sSub>
                <m:sSubPr>
                  <m:ctrlPr>
                    <w:rPr>
                      <w:rFonts w:ascii="Cambria Math" w:hAnsi="Cambria Math"/>
                      <w:i/>
                      <w:szCs w:val="20"/>
                    </w:rPr>
                  </m:ctrlPr>
                </m:sSubPr>
                <m:e>
                  <m:r>
                    <w:rPr>
                      <w:rFonts w:ascii="Cambria Math" w:hAnsi="Cambria Math"/>
                    </w:rPr>
                    <m:t>K</m:t>
                  </m:r>
                </m:e>
                <m:sub>
                  <m:r>
                    <w:rPr>
                      <w:rFonts w:ascii="Cambria Math" w:hAnsi="Cambria Math"/>
                    </w:rPr>
                    <m:t>offset</m:t>
                  </m:r>
                </m:sub>
              </m:sSub>
            </m:oMath>
            <w:r w:rsidRPr="003B7AD2">
              <w:rPr>
                <w:bCs/>
                <w:i/>
                <w:szCs w:val="20"/>
              </w:rPr>
              <w:t>)</w:t>
            </w:r>
            <w:r w:rsidRPr="003B7AD2">
              <w:rPr>
                <w:i/>
                <w:szCs w:val="20"/>
              </w:rPr>
              <w:t xml:space="preserve"> can be signaled by higher layers</w:t>
            </w:r>
            <w:r w:rsidRPr="003B7AD2">
              <w:rPr>
                <w:bCs/>
                <w:i/>
                <w:szCs w:val="20"/>
              </w:rPr>
              <w:t>.</w:t>
            </w:r>
          </w:p>
          <w:p w14:paraId="204EF21A" w14:textId="10BD951B" w:rsidR="00012151" w:rsidRPr="0082245D" w:rsidRDefault="0082245D" w:rsidP="0082245D">
            <w:pPr>
              <w:spacing w:beforeLines="50" w:before="120" w:afterLines="50" w:after="120"/>
              <w:rPr>
                <w:b/>
                <w:bCs/>
                <w:szCs w:val="20"/>
              </w:rPr>
            </w:pPr>
            <w:r w:rsidRPr="003B7AD2">
              <w:rPr>
                <w:i/>
                <w:szCs w:val="20"/>
              </w:rPr>
              <w:t xml:space="preserve">Proposal 3: </w:t>
            </w:r>
            <w:r w:rsidRPr="003B7AD2">
              <w:rPr>
                <w:bCs/>
                <w:i/>
                <w:szCs w:val="20"/>
              </w:rPr>
              <w:t>Extending the value range of dl-</w:t>
            </w:r>
            <w:proofErr w:type="spellStart"/>
            <w:r w:rsidRPr="003B7AD2">
              <w:rPr>
                <w:bCs/>
                <w:i/>
                <w:szCs w:val="20"/>
              </w:rPr>
              <w:t>DataToUL</w:t>
            </w:r>
            <w:proofErr w:type="spellEnd"/>
            <w:r w:rsidRPr="003B7AD2">
              <w:rPr>
                <w:bCs/>
                <w:i/>
                <w:szCs w:val="20"/>
              </w:rPr>
              <w:t>-ACK field in PUCCH-Config IE to larger than 15, e.g., 31.</w:t>
            </w:r>
          </w:p>
        </w:tc>
      </w:tr>
      <w:tr w:rsidR="00012151" w:rsidRPr="001F1E06" w14:paraId="39D5A714"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091EE2D" w14:textId="464923B7" w:rsidR="00012151" w:rsidRPr="00530C96" w:rsidRDefault="000D6114" w:rsidP="00EC4C48">
            <w:pPr>
              <w:jc w:val="center"/>
              <w:rPr>
                <w:rFonts w:cs="Arial"/>
                <w:color w:val="FF0000"/>
              </w:rPr>
            </w:pPr>
            <w:r w:rsidRPr="005215FE">
              <w:rPr>
                <w:rFonts w:cs="Arial"/>
              </w:rPr>
              <w:t xml:space="preserve">Huawei, HiSilicon </w:t>
            </w:r>
            <w:r w:rsidR="005215FE" w:rsidRPr="005215FE">
              <w:rPr>
                <w:rFonts w:cs="Arial"/>
              </w:rPr>
              <w:t>(</w:t>
            </w:r>
            <w:r w:rsidRPr="005215FE">
              <w:rPr>
                <w:rFonts w:cs="Arial"/>
              </w:rPr>
              <w:t>R1-1911859</w:t>
            </w:r>
            <w:r w:rsidR="005215FE" w:rsidRPr="005215FE">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96B0619" w14:textId="183F897C" w:rsidR="00012151" w:rsidRPr="00530C96" w:rsidRDefault="000D6114" w:rsidP="00EC4C48">
            <w:pPr>
              <w:autoSpaceDE w:val="0"/>
              <w:autoSpaceDN w:val="0"/>
              <w:adjustRightInd w:val="0"/>
              <w:snapToGrid w:val="0"/>
              <w:spacing w:before="120" w:after="120"/>
              <w:rPr>
                <w:i/>
                <w:color w:val="FF0000"/>
              </w:rPr>
            </w:pPr>
            <w:r w:rsidRPr="000D6114">
              <w:rPr>
                <w:i/>
              </w:rPr>
              <w:t>Proposal 2: A hierarchical timing offset indication mechanism can be considered in NTN.</w:t>
            </w:r>
          </w:p>
        </w:tc>
      </w:tr>
      <w:tr w:rsidR="00012151" w:rsidRPr="001F1E06" w14:paraId="4D5F1D8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477745E" w14:textId="59F2E8F2" w:rsidR="00012151" w:rsidRPr="0014333E" w:rsidRDefault="0014333E" w:rsidP="00EC4C48">
            <w:pPr>
              <w:jc w:val="center"/>
              <w:rPr>
                <w:rFonts w:cs="Arial"/>
              </w:rPr>
            </w:pPr>
            <w:r w:rsidRPr="0014333E">
              <w:rPr>
                <w:rFonts w:cs="Arial"/>
              </w:rPr>
              <w:t>ZTE (R1-1912611)</w:t>
            </w:r>
          </w:p>
        </w:tc>
        <w:tc>
          <w:tcPr>
            <w:tcW w:w="6840" w:type="dxa"/>
            <w:tcBorders>
              <w:top w:val="single" w:sz="4" w:space="0" w:color="auto"/>
              <w:left w:val="single" w:sz="4" w:space="0" w:color="auto"/>
              <w:bottom w:val="single" w:sz="4" w:space="0" w:color="auto"/>
              <w:right w:val="single" w:sz="4" w:space="0" w:color="auto"/>
            </w:tcBorders>
            <w:vAlign w:val="center"/>
          </w:tcPr>
          <w:p w14:paraId="0595580A" w14:textId="47CF12DD" w:rsidR="00012151" w:rsidRPr="0014333E" w:rsidRDefault="0014333E" w:rsidP="00EC4C48">
            <w:pPr>
              <w:autoSpaceDE w:val="0"/>
              <w:autoSpaceDN w:val="0"/>
              <w:adjustRightInd w:val="0"/>
              <w:snapToGrid w:val="0"/>
              <w:spacing w:after="120"/>
              <w:rPr>
                <w:i/>
              </w:rPr>
            </w:pPr>
            <w:r w:rsidRPr="0014333E">
              <w:rPr>
                <w:i/>
              </w:rPr>
              <w:t>Proposal 7: Extension of the value range of k1 in existing Rel-15 design should be supported in NTN.</w:t>
            </w:r>
          </w:p>
        </w:tc>
      </w:tr>
    </w:tbl>
    <w:p w14:paraId="3158FDBB" w14:textId="77777777" w:rsidR="00012151" w:rsidRPr="00DC132E" w:rsidRDefault="00012151" w:rsidP="00580F1D">
      <w:pPr>
        <w:pStyle w:val="BodyText"/>
      </w:pPr>
    </w:p>
    <w:p w14:paraId="4E590FFA" w14:textId="77777777" w:rsidR="00A600FA" w:rsidRPr="00DC132E" w:rsidRDefault="00A600FA" w:rsidP="00A600FA">
      <w:pPr>
        <w:pStyle w:val="BodyText"/>
      </w:pPr>
    </w:p>
    <w:p w14:paraId="49E2722D" w14:textId="77777777" w:rsidR="0092598B" w:rsidRPr="0092598B" w:rsidRDefault="0092598B" w:rsidP="0092598B">
      <w:pPr>
        <w:pStyle w:val="BodyText"/>
      </w:pPr>
    </w:p>
    <w:sectPr w:rsidR="0092598B" w:rsidRPr="0092598B"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01F20" w14:textId="77777777" w:rsidR="00702683" w:rsidRDefault="00702683" w:rsidP="00896408">
      <w:r>
        <w:separator/>
      </w:r>
    </w:p>
  </w:endnote>
  <w:endnote w:type="continuationSeparator" w:id="0">
    <w:p w14:paraId="72AD9D0D" w14:textId="77777777" w:rsidR="00702683" w:rsidRDefault="00702683"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FF996" w14:textId="77777777" w:rsidR="00702683" w:rsidRDefault="00702683" w:rsidP="00896408">
      <w:r>
        <w:separator/>
      </w:r>
    </w:p>
  </w:footnote>
  <w:footnote w:type="continuationSeparator" w:id="0">
    <w:p w14:paraId="4DFC0893" w14:textId="77777777" w:rsidR="00702683" w:rsidRDefault="00702683"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BC0C7D"/>
    <w:multiLevelType w:val="hybridMultilevel"/>
    <w:tmpl w:val="8E4C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70B88"/>
    <w:multiLevelType w:val="hybridMultilevel"/>
    <w:tmpl w:val="2432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E0147"/>
    <w:multiLevelType w:val="hybridMultilevel"/>
    <w:tmpl w:val="4A4CC4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7204F49"/>
    <w:multiLevelType w:val="hybridMultilevel"/>
    <w:tmpl w:val="B6E4E4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E7782D"/>
    <w:multiLevelType w:val="hybridMultilevel"/>
    <w:tmpl w:val="0A8E5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3582E"/>
    <w:multiLevelType w:val="hybridMultilevel"/>
    <w:tmpl w:val="499A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8451E3"/>
    <w:multiLevelType w:val="hybridMultilevel"/>
    <w:tmpl w:val="724C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F372B"/>
    <w:multiLevelType w:val="hybridMultilevel"/>
    <w:tmpl w:val="4C08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000AC"/>
    <w:multiLevelType w:val="hybridMultilevel"/>
    <w:tmpl w:val="64B0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15FF6"/>
    <w:multiLevelType w:val="hybridMultilevel"/>
    <w:tmpl w:val="44667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DA587D"/>
    <w:multiLevelType w:val="hybridMultilevel"/>
    <w:tmpl w:val="FCC004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206F26"/>
    <w:multiLevelType w:val="hybridMultilevel"/>
    <w:tmpl w:val="BF080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284DAF"/>
    <w:multiLevelType w:val="hybridMultilevel"/>
    <w:tmpl w:val="89DE8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E85A72"/>
    <w:multiLevelType w:val="hybridMultilevel"/>
    <w:tmpl w:val="2A5C6A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F2718C3"/>
    <w:multiLevelType w:val="hybridMultilevel"/>
    <w:tmpl w:val="6A0241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63947E08"/>
    <w:multiLevelType w:val="hybridMultilevel"/>
    <w:tmpl w:val="9C120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0D10EA"/>
    <w:multiLevelType w:val="hybridMultilevel"/>
    <w:tmpl w:val="01A2E078"/>
    <w:lvl w:ilvl="0" w:tplc="8A7E6764">
      <w:start w:val="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747"/>
        </w:tabs>
        <w:ind w:left="7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FF0B12"/>
    <w:multiLevelType w:val="hybridMultilevel"/>
    <w:tmpl w:val="D286DE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
  </w:num>
  <w:num w:numId="3">
    <w:abstractNumId w:val="34"/>
  </w:num>
  <w:num w:numId="4">
    <w:abstractNumId w:val="21"/>
  </w:num>
  <w:num w:numId="5">
    <w:abstractNumId w:val="15"/>
  </w:num>
  <w:num w:numId="6">
    <w:abstractNumId w:val="14"/>
  </w:num>
  <w:num w:numId="7">
    <w:abstractNumId w:val="36"/>
  </w:num>
  <w:num w:numId="8">
    <w:abstractNumId w:val="0"/>
  </w:num>
  <w:num w:numId="9">
    <w:abstractNumId w:val="20"/>
  </w:num>
  <w:num w:numId="10">
    <w:abstractNumId w:val="16"/>
  </w:num>
  <w:num w:numId="11">
    <w:abstractNumId w:val="28"/>
  </w:num>
  <w:num w:numId="12">
    <w:abstractNumId w:val="24"/>
  </w:num>
  <w:num w:numId="13">
    <w:abstractNumId w:val="23"/>
  </w:num>
  <w:num w:numId="14">
    <w:abstractNumId w:val="9"/>
  </w:num>
  <w:num w:numId="15">
    <w:abstractNumId w:val="27"/>
  </w:num>
  <w:num w:numId="16">
    <w:abstractNumId w:val="19"/>
  </w:num>
  <w:num w:numId="17">
    <w:abstractNumId w:val="18"/>
  </w:num>
  <w:num w:numId="18">
    <w:abstractNumId w:val="32"/>
  </w:num>
  <w:num w:numId="19">
    <w:abstractNumId w:val="30"/>
  </w:num>
  <w:num w:numId="20">
    <w:abstractNumId w:val="10"/>
  </w:num>
  <w:num w:numId="21">
    <w:abstractNumId w:val="38"/>
  </w:num>
  <w:num w:numId="22">
    <w:abstractNumId w:val="35"/>
  </w:num>
  <w:num w:numId="23">
    <w:abstractNumId w:val="7"/>
  </w:num>
  <w:num w:numId="24">
    <w:abstractNumId w:val="11"/>
  </w:num>
  <w:num w:numId="25">
    <w:abstractNumId w:val="35"/>
  </w:num>
  <w:num w:numId="26">
    <w:abstractNumId w:val="12"/>
  </w:num>
  <w:num w:numId="27">
    <w:abstractNumId w:val="5"/>
  </w:num>
  <w:num w:numId="28">
    <w:abstractNumId w:val="25"/>
  </w:num>
  <w:num w:numId="29">
    <w:abstractNumId w:val="35"/>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
  </w:num>
  <w:num w:numId="33">
    <w:abstractNumId w:val="31"/>
  </w:num>
  <w:num w:numId="34">
    <w:abstractNumId w:val="6"/>
  </w:num>
  <w:num w:numId="35">
    <w:abstractNumId w:val="22"/>
  </w:num>
  <w:num w:numId="36">
    <w:abstractNumId w:val="8"/>
  </w:num>
  <w:num w:numId="37">
    <w:abstractNumId w:val="21"/>
    <w:lvlOverride w:ilvl="0">
      <w:startOverride w:val="1"/>
    </w:lvlOverride>
  </w:num>
  <w:num w:numId="38">
    <w:abstractNumId w:val="13"/>
  </w:num>
  <w:num w:numId="39">
    <w:abstractNumId w:val="26"/>
  </w:num>
  <w:num w:numId="40">
    <w:abstractNumId w:val="17"/>
  </w:num>
  <w:num w:numId="41">
    <w:abstractNumId w:val="33"/>
  </w:num>
  <w:num w:numId="42">
    <w:abstractNumId w:val="13"/>
  </w:num>
  <w:num w:numId="43">
    <w:abstractNumId w:val="4"/>
  </w:num>
  <w:num w:numId="4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2F6"/>
    <w:rsid w:val="00002A67"/>
    <w:rsid w:val="00005919"/>
    <w:rsid w:val="0000617F"/>
    <w:rsid w:val="00012151"/>
    <w:rsid w:val="00013417"/>
    <w:rsid w:val="00013A8C"/>
    <w:rsid w:val="00016BBF"/>
    <w:rsid w:val="000208D5"/>
    <w:rsid w:val="00021435"/>
    <w:rsid w:val="00024F13"/>
    <w:rsid w:val="00031B21"/>
    <w:rsid w:val="000331C2"/>
    <w:rsid w:val="00034733"/>
    <w:rsid w:val="00037674"/>
    <w:rsid w:val="00043579"/>
    <w:rsid w:val="000469F5"/>
    <w:rsid w:val="000528E7"/>
    <w:rsid w:val="00052B6F"/>
    <w:rsid w:val="00061D59"/>
    <w:rsid w:val="00067911"/>
    <w:rsid w:val="000726A8"/>
    <w:rsid w:val="00072BB4"/>
    <w:rsid w:val="00072E94"/>
    <w:rsid w:val="000772DC"/>
    <w:rsid w:val="00077E42"/>
    <w:rsid w:val="0008035D"/>
    <w:rsid w:val="00086099"/>
    <w:rsid w:val="00091245"/>
    <w:rsid w:val="000A19B1"/>
    <w:rsid w:val="000A2226"/>
    <w:rsid w:val="000A4B25"/>
    <w:rsid w:val="000B1513"/>
    <w:rsid w:val="000B2B1D"/>
    <w:rsid w:val="000B6961"/>
    <w:rsid w:val="000C20C5"/>
    <w:rsid w:val="000C3716"/>
    <w:rsid w:val="000C46BF"/>
    <w:rsid w:val="000C4A8E"/>
    <w:rsid w:val="000C5DB0"/>
    <w:rsid w:val="000C5F12"/>
    <w:rsid w:val="000C7851"/>
    <w:rsid w:val="000D54A9"/>
    <w:rsid w:val="000D60F4"/>
    <w:rsid w:val="000D6114"/>
    <w:rsid w:val="000E30BF"/>
    <w:rsid w:val="000E7B6F"/>
    <w:rsid w:val="000F0708"/>
    <w:rsid w:val="000F2824"/>
    <w:rsid w:val="000F3428"/>
    <w:rsid w:val="000F73BC"/>
    <w:rsid w:val="000F77FD"/>
    <w:rsid w:val="000F7CAE"/>
    <w:rsid w:val="00100F46"/>
    <w:rsid w:val="00101E47"/>
    <w:rsid w:val="00101EBF"/>
    <w:rsid w:val="001025A2"/>
    <w:rsid w:val="001028C2"/>
    <w:rsid w:val="001031D4"/>
    <w:rsid w:val="00106665"/>
    <w:rsid w:val="001075CC"/>
    <w:rsid w:val="001105E1"/>
    <w:rsid w:val="00115FE3"/>
    <w:rsid w:val="00117235"/>
    <w:rsid w:val="001225D1"/>
    <w:rsid w:val="001235A5"/>
    <w:rsid w:val="00123EFD"/>
    <w:rsid w:val="0012491F"/>
    <w:rsid w:val="00124EB6"/>
    <w:rsid w:val="00127B61"/>
    <w:rsid w:val="00130205"/>
    <w:rsid w:val="00131D2D"/>
    <w:rsid w:val="001350BB"/>
    <w:rsid w:val="00136436"/>
    <w:rsid w:val="001372E8"/>
    <w:rsid w:val="0014333E"/>
    <w:rsid w:val="00144006"/>
    <w:rsid w:val="0014601D"/>
    <w:rsid w:val="00151FE9"/>
    <w:rsid w:val="00161301"/>
    <w:rsid w:val="001647A4"/>
    <w:rsid w:val="00164AED"/>
    <w:rsid w:val="0017018D"/>
    <w:rsid w:val="0017031C"/>
    <w:rsid w:val="00171B41"/>
    <w:rsid w:val="00172B21"/>
    <w:rsid w:val="001732CE"/>
    <w:rsid w:val="0017452E"/>
    <w:rsid w:val="001766D7"/>
    <w:rsid w:val="0017715B"/>
    <w:rsid w:val="00177B39"/>
    <w:rsid w:val="00177E9A"/>
    <w:rsid w:val="00183361"/>
    <w:rsid w:val="00183C62"/>
    <w:rsid w:val="00183F2C"/>
    <w:rsid w:val="0018438F"/>
    <w:rsid w:val="00186453"/>
    <w:rsid w:val="00190AC0"/>
    <w:rsid w:val="001921E4"/>
    <w:rsid w:val="00192A1D"/>
    <w:rsid w:val="0019339B"/>
    <w:rsid w:val="001957AD"/>
    <w:rsid w:val="00196D3D"/>
    <w:rsid w:val="0019729A"/>
    <w:rsid w:val="001A1190"/>
    <w:rsid w:val="001A7E42"/>
    <w:rsid w:val="001B23AB"/>
    <w:rsid w:val="001B28A2"/>
    <w:rsid w:val="001B3775"/>
    <w:rsid w:val="001B4144"/>
    <w:rsid w:val="001B5A9D"/>
    <w:rsid w:val="001B6357"/>
    <w:rsid w:val="001B64CA"/>
    <w:rsid w:val="001C6699"/>
    <w:rsid w:val="001C6E35"/>
    <w:rsid w:val="001C76CD"/>
    <w:rsid w:val="001C779A"/>
    <w:rsid w:val="001D0082"/>
    <w:rsid w:val="001D38EB"/>
    <w:rsid w:val="001D765D"/>
    <w:rsid w:val="001E04CB"/>
    <w:rsid w:val="001E0ECA"/>
    <w:rsid w:val="001E1004"/>
    <w:rsid w:val="001E16FD"/>
    <w:rsid w:val="001E1894"/>
    <w:rsid w:val="001E2F93"/>
    <w:rsid w:val="001E2FED"/>
    <w:rsid w:val="001E4F7D"/>
    <w:rsid w:val="001E5AFE"/>
    <w:rsid w:val="001E7FFA"/>
    <w:rsid w:val="001F1896"/>
    <w:rsid w:val="001F1E06"/>
    <w:rsid w:val="001F3342"/>
    <w:rsid w:val="001F5876"/>
    <w:rsid w:val="001F6236"/>
    <w:rsid w:val="001F62B1"/>
    <w:rsid w:val="001F6337"/>
    <w:rsid w:val="002023FE"/>
    <w:rsid w:val="0020285D"/>
    <w:rsid w:val="00202F96"/>
    <w:rsid w:val="00203DFE"/>
    <w:rsid w:val="00207DA5"/>
    <w:rsid w:val="00210EBE"/>
    <w:rsid w:val="002117B5"/>
    <w:rsid w:val="00213DF2"/>
    <w:rsid w:val="0021662B"/>
    <w:rsid w:val="00217684"/>
    <w:rsid w:val="00217799"/>
    <w:rsid w:val="00222A98"/>
    <w:rsid w:val="0023393C"/>
    <w:rsid w:val="002356F2"/>
    <w:rsid w:val="00240EFA"/>
    <w:rsid w:val="00241B69"/>
    <w:rsid w:val="0024374D"/>
    <w:rsid w:val="00245781"/>
    <w:rsid w:val="00252705"/>
    <w:rsid w:val="002553B4"/>
    <w:rsid w:val="00261223"/>
    <w:rsid w:val="00261407"/>
    <w:rsid w:val="00261E03"/>
    <w:rsid w:val="00262648"/>
    <w:rsid w:val="00262715"/>
    <w:rsid w:val="00262FC3"/>
    <w:rsid w:val="00266FBA"/>
    <w:rsid w:val="00274366"/>
    <w:rsid w:val="00277522"/>
    <w:rsid w:val="002801F4"/>
    <w:rsid w:val="0028065B"/>
    <w:rsid w:val="00280902"/>
    <w:rsid w:val="0028302B"/>
    <w:rsid w:val="002838A9"/>
    <w:rsid w:val="00286B6D"/>
    <w:rsid w:val="00290339"/>
    <w:rsid w:val="00292093"/>
    <w:rsid w:val="002924D2"/>
    <w:rsid w:val="00293525"/>
    <w:rsid w:val="0029378A"/>
    <w:rsid w:val="00297F2D"/>
    <w:rsid w:val="002A0BC9"/>
    <w:rsid w:val="002A3764"/>
    <w:rsid w:val="002A38CF"/>
    <w:rsid w:val="002A519F"/>
    <w:rsid w:val="002B0A0E"/>
    <w:rsid w:val="002B0DDD"/>
    <w:rsid w:val="002B2B45"/>
    <w:rsid w:val="002B59EF"/>
    <w:rsid w:val="002B64E5"/>
    <w:rsid w:val="002B75B9"/>
    <w:rsid w:val="002C09B7"/>
    <w:rsid w:val="002C0BED"/>
    <w:rsid w:val="002C41FE"/>
    <w:rsid w:val="002C4338"/>
    <w:rsid w:val="002C478D"/>
    <w:rsid w:val="002C5943"/>
    <w:rsid w:val="002D160B"/>
    <w:rsid w:val="002D181E"/>
    <w:rsid w:val="002D263D"/>
    <w:rsid w:val="002D3533"/>
    <w:rsid w:val="002D42C5"/>
    <w:rsid w:val="002D4343"/>
    <w:rsid w:val="002D490E"/>
    <w:rsid w:val="002D6614"/>
    <w:rsid w:val="002D7EE6"/>
    <w:rsid w:val="002E0F56"/>
    <w:rsid w:val="002E0FF8"/>
    <w:rsid w:val="002E11C5"/>
    <w:rsid w:val="002E5EDF"/>
    <w:rsid w:val="002E6476"/>
    <w:rsid w:val="002F0960"/>
    <w:rsid w:val="002F2A40"/>
    <w:rsid w:val="002F2C8E"/>
    <w:rsid w:val="002F5496"/>
    <w:rsid w:val="00302EF4"/>
    <w:rsid w:val="00303A9D"/>
    <w:rsid w:val="00305030"/>
    <w:rsid w:val="00305AD3"/>
    <w:rsid w:val="003110B5"/>
    <w:rsid w:val="00315986"/>
    <w:rsid w:val="00317720"/>
    <w:rsid w:val="00323634"/>
    <w:rsid w:val="0032534A"/>
    <w:rsid w:val="0033205D"/>
    <w:rsid w:val="00333800"/>
    <w:rsid w:val="00333AD6"/>
    <w:rsid w:val="00333B7E"/>
    <w:rsid w:val="00334F0C"/>
    <w:rsid w:val="00341942"/>
    <w:rsid w:val="00343A75"/>
    <w:rsid w:val="0034475B"/>
    <w:rsid w:val="00344FC3"/>
    <w:rsid w:val="0035540F"/>
    <w:rsid w:val="003566EA"/>
    <w:rsid w:val="0036098C"/>
    <w:rsid w:val="00360D53"/>
    <w:rsid w:val="00361B52"/>
    <w:rsid w:val="0036210B"/>
    <w:rsid w:val="00365BA9"/>
    <w:rsid w:val="00365CE4"/>
    <w:rsid w:val="003665EF"/>
    <w:rsid w:val="0037062E"/>
    <w:rsid w:val="003708C7"/>
    <w:rsid w:val="0037201C"/>
    <w:rsid w:val="00375EC8"/>
    <w:rsid w:val="00377866"/>
    <w:rsid w:val="0038001F"/>
    <w:rsid w:val="00383319"/>
    <w:rsid w:val="003862E0"/>
    <w:rsid w:val="00387E52"/>
    <w:rsid w:val="003936C5"/>
    <w:rsid w:val="00393FEA"/>
    <w:rsid w:val="003975C9"/>
    <w:rsid w:val="00397999"/>
    <w:rsid w:val="003A2274"/>
    <w:rsid w:val="003A2744"/>
    <w:rsid w:val="003A3D8B"/>
    <w:rsid w:val="003A3F1E"/>
    <w:rsid w:val="003A5E26"/>
    <w:rsid w:val="003A626C"/>
    <w:rsid w:val="003A6381"/>
    <w:rsid w:val="003A7A03"/>
    <w:rsid w:val="003B399E"/>
    <w:rsid w:val="003B4082"/>
    <w:rsid w:val="003B6115"/>
    <w:rsid w:val="003B72D8"/>
    <w:rsid w:val="003B7AD2"/>
    <w:rsid w:val="003C0967"/>
    <w:rsid w:val="003C0AD6"/>
    <w:rsid w:val="003C2B0F"/>
    <w:rsid w:val="003C35F7"/>
    <w:rsid w:val="003C53E4"/>
    <w:rsid w:val="003C6735"/>
    <w:rsid w:val="003C7845"/>
    <w:rsid w:val="003D0C43"/>
    <w:rsid w:val="003D4A05"/>
    <w:rsid w:val="003D50BB"/>
    <w:rsid w:val="003D6A33"/>
    <w:rsid w:val="003D76FB"/>
    <w:rsid w:val="003F0F91"/>
    <w:rsid w:val="003F17A5"/>
    <w:rsid w:val="003F20FF"/>
    <w:rsid w:val="003F30EF"/>
    <w:rsid w:val="003F351C"/>
    <w:rsid w:val="003F3D9B"/>
    <w:rsid w:val="003F40C6"/>
    <w:rsid w:val="003F4BD8"/>
    <w:rsid w:val="004017F3"/>
    <w:rsid w:val="0040180B"/>
    <w:rsid w:val="00402637"/>
    <w:rsid w:val="004035AB"/>
    <w:rsid w:val="004048F9"/>
    <w:rsid w:val="00405A12"/>
    <w:rsid w:val="00406215"/>
    <w:rsid w:val="00406AFB"/>
    <w:rsid w:val="00407824"/>
    <w:rsid w:val="00410E1D"/>
    <w:rsid w:val="00416DEC"/>
    <w:rsid w:val="00422657"/>
    <w:rsid w:val="00423BB7"/>
    <w:rsid w:val="004256E3"/>
    <w:rsid w:val="0043168F"/>
    <w:rsid w:val="00432D70"/>
    <w:rsid w:val="004341BC"/>
    <w:rsid w:val="004366C0"/>
    <w:rsid w:val="0043713F"/>
    <w:rsid w:val="00437DEC"/>
    <w:rsid w:val="00441261"/>
    <w:rsid w:val="00441658"/>
    <w:rsid w:val="004434EC"/>
    <w:rsid w:val="00444543"/>
    <w:rsid w:val="004455E1"/>
    <w:rsid w:val="00446174"/>
    <w:rsid w:val="00446E33"/>
    <w:rsid w:val="00447944"/>
    <w:rsid w:val="00451280"/>
    <w:rsid w:val="004516D0"/>
    <w:rsid w:val="004520CB"/>
    <w:rsid w:val="00452212"/>
    <w:rsid w:val="00452308"/>
    <w:rsid w:val="00452568"/>
    <w:rsid w:val="00454CBB"/>
    <w:rsid w:val="00456674"/>
    <w:rsid w:val="0046105E"/>
    <w:rsid w:val="00461B9F"/>
    <w:rsid w:val="00462E49"/>
    <w:rsid w:val="00463978"/>
    <w:rsid w:val="00470E27"/>
    <w:rsid w:val="004739D1"/>
    <w:rsid w:val="00473FB9"/>
    <w:rsid w:val="004758C0"/>
    <w:rsid w:val="0048093F"/>
    <w:rsid w:val="00481362"/>
    <w:rsid w:val="00483246"/>
    <w:rsid w:val="00485407"/>
    <w:rsid w:val="00487558"/>
    <w:rsid w:val="004900B0"/>
    <w:rsid w:val="00490163"/>
    <w:rsid w:val="00491BF3"/>
    <w:rsid w:val="004931C1"/>
    <w:rsid w:val="00495E1F"/>
    <w:rsid w:val="004977DF"/>
    <w:rsid w:val="004A09F7"/>
    <w:rsid w:val="004A3312"/>
    <w:rsid w:val="004A3493"/>
    <w:rsid w:val="004A419E"/>
    <w:rsid w:val="004A48CD"/>
    <w:rsid w:val="004A4F41"/>
    <w:rsid w:val="004A752D"/>
    <w:rsid w:val="004A77A5"/>
    <w:rsid w:val="004B1350"/>
    <w:rsid w:val="004B181F"/>
    <w:rsid w:val="004B1ABC"/>
    <w:rsid w:val="004B6889"/>
    <w:rsid w:val="004B6AD5"/>
    <w:rsid w:val="004B6C81"/>
    <w:rsid w:val="004C119C"/>
    <w:rsid w:val="004C607B"/>
    <w:rsid w:val="004C672E"/>
    <w:rsid w:val="004D04FE"/>
    <w:rsid w:val="004D257E"/>
    <w:rsid w:val="004D2BC6"/>
    <w:rsid w:val="004D2EA7"/>
    <w:rsid w:val="004D4A7E"/>
    <w:rsid w:val="004D7FE0"/>
    <w:rsid w:val="004E20E9"/>
    <w:rsid w:val="004E4BA2"/>
    <w:rsid w:val="004E723F"/>
    <w:rsid w:val="004F0A92"/>
    <w:rsid w:val="004F0CF5"/>
    <w:rsid w:val="004F294C"/>
    <w:rsid w:val="004F2D7F"/>
    <w:rsid w:val="004F2D87"/>
    <w:rsid w:val="004F3071"/>
    <w:rsid w:val="004F314C"/>
    <w:rsid w:val="004F430F"/>
    <w:rsid w:val="004F4CE1"/>
    <w:rsid w:val="0050090C"/>
    <w:rsid w:val="00500C69"/>
    <w:rsid w:val="00503FAB"/>
    <w:rsid w:val="005046E3"/>
    <w:rsid w:val="00504A5D"/>
    <w:rsid w:val="005053EA"/>
    <w:rsid w:val="00505623"/>
    <w:rsid w:val="00506128"/>
    <w:rsid w:val="00511208"/>
    <w:rsid w:val="005114D2"/>
    <w:rsid w:val="00511C01"/>
    <w:rsid w:val="00514198"/>
    <w:rsid w:val="0051428D"/>
    <w:rsid w:val="00514744"/>
    <w:rsid w:val="005164F1"/>
    <w:rsid w:val="00520B88"/>
    <w:rsid w:val="0052140E"/>
    <w:rsid w:val="005215FE"/>
    <w:rsid w:val="0052442D"/>
    <w:rsid w:val="0052474B"/>
    <w:rsid w:val="0052582D"/>
    <w:rsid w:val="00526083"/>
    <w:rsid w:val="00530C96"/>
    <w:rsid w:val="0053186E"/>
    <w:rsid w:val="00534735"/>
    <w:rsid w:val="00535267"/>
    <w:rsid w:val="005408CE"/>
    <w:rsid w:val="00543DC6"/>
    <w:rsid w:val="0054413F"/>
    <w:rsid w:val="00544261"/>
    <w:rsid w:val="005463E0"/>
    <w:rsid w:val="005514B5"/>
    <w:rsid w:val="00552478"/>
    <w:rsid w:val="005527F2"/>
    <w:rsid w:val="00553E1C"/>
    <w:rsid w:val="00553EB5"/>
    <w:rsid w:val="00556934"/>
    <w:rsid w:val="00562204"/>
    <w:rsid w:val="005634C5"/>
    <w:rsid w:val="00563E1B"/>
    <w:rsid w:val="005648A5"/>
    <w:rsid w:val="0056688D"/>
    <w:rsid w:val="00566B18"/>
    <w:rsid w:val="00566C53"/>
    <w:rsid w:val="00567428"/>
    <w:rsid w:val="00571275"/>
    <w:rsid w:val="00571BC0"/>
    <w:rsid w:val="00572034"/>
    <w:rsid w:val="00573076"/>
    <w:rsid w:val="005744A9"/>
    <w:rsid w:val="00574593"/>
    <w:rsid w:val="00575C70"/>
    <w:rsid w:val="00576A1A"/>
    <w:rsid w:val="00576B60"/>
    <w:rsid w:val="00577008"/>
    <w:rsid w:val="00577CC3"/>
    <w:rsid w:val="00580F1D"/>
    <w:rsid w:val="0058220F"/>
    <w:rsid w:val="00582396"/>
    <w:rsid w:val="005838EA"/>
    <w:rsid w:val="00585773"/>
    <w:rsid w:val="00585C45"/>
    <w:rsid w:val="0058712C"/>
    <w:rsid w:val="00590E0A"/>
    <w:rsid w:val="00592202"/>
    <w:rsid w:val="00594ECF"/>
    <w:rsid w:val="00597B4B"/>
    <w:rsid w:val="005A0DD0"/>
    <w:rsid w:val="005A2B57"/>
    <w:rsid w:val="005A54E9"/>
    <w:rsid w:val="005A60C5"/>
    <w:rsid w:val="005A7535"/>
    <w:rsid w:val="005B007A"/>
    <w:rsid w:val="005B19E6"/>
    <w:rsid w:val="005B1E30"/>
    <w:rsid w:val="005B7545"/>
    <w:rsid w:val="005C037A"/>
    <w:rsid w:val="005C178B"/>
    <w:rsid w:val="005C2660"/>
    <w:rsid w:val="005C579E"/>
    <w:rsid w:val="005C5EF5"/>
    <w:rsid w:val="005C77FC"/>
    <w:rsid w:val="005D04D6"/>
    <w:rsid w:val="005D1F07"/>
    <w:rsid w:val="005D316F"/>
    <w:rsid w:val="005D47D0"/>
    <w:rsid w:val="005D4ECB"/>
    <w:rsid w:val="005D5E9E"/>
    <w:rsid w:val="005D7E01"/>
    <w:rsid w:val="005E000D"/>
    <w:rsid w:val="005E1595"/>
    <w:rsid w:val="005E1D85"/>
    <w:rsid w:val="005E4BE7"/>
    <w:rsid w:val="005F066E"/>
    <w:rsid w:val="005F66CD"/>
    <w:rsid w:val="005F70CF"/>
    <w:rsid w:val="0060068C"/>
    <w:rsid w:val="006026C5"/>
    <w:rsid w:val="00602A9C"/>
    <w:rsid w:val="00603193"/>
    <w:rsid w:val="00610626"/>
    <w:rsid w:val="006117F2"/>
    <w:rsid w:val="006121C5"/>
    <w:rsid w:val="0061368C"/>
    <w:rsid w:val="00614513"/>
    <w:rsid w:val="00614BB5"/>
    <w:rsid w:val="00614D87"/>
    <w:rsid w:val="00615754"/>
    <w:rsid w:val="00616C24"/>
    <w:rsid w:val="00616C81"/>
    <w:rsid w:val="00620EC3"/>
    <w:rsid w:val="00622ED8"/>
    <w:rsid w:val="00623EC9"/>
    <w:rsid w:val="006249FD"/>
    <w:rsid w:val="0062598A"/>
    <w:rsid w:val="006259C2"/>
    <w:rsid w:val="0062628C"/>
    <w:rsid w:val="00626E2E"/>
    <w:rsid w:val="006274D1"/>
    <w:rsid w:val="0063060C"/>
    <w:rsid w:val="0063517D"/>
    <w:rsid w:val="00635E41"/>
    <w:rsid w:val="00636336"/>
    <w:rsid w:val="0064078E"/>
    <w:rsid w:val="00640AFC"/>
    <w:rsid w:val="00641039"/>
    <w:rsid w:val="006428F0"/>
    <w:rsid w:val="00645F28"/>
    <w:rsid w:val="00646975"/>
    <w:rsid w:val="00650E01"/>
    <w:rsid w:val="00653E4F"/>
    <w:rsid w:val="00655030"/>
    <w:rsid w:val="0065528A"/>
    <w:rsid w:val="0066451B"/>
    <w:rsid w:val="00666BD1"/>
    <w:rsid w:val="00667245"/>
    <w:rsid w:val="006679C2"/>
    <w:rsid w:val="0067060A"/>
    <w:rsid w:val="00672D94"/>
    <w:rsid w:val="00673DB1"/>
    <w:rsid w:val="00674629"/>
    <w:rsid w:val="00674F1C"/>
    <w:rsid w:val="006756ED"/>
    <w:rsid w:val="00675B28"/>
    <w:rsid w:val="00676F84"/>
    <w:rsid w:val="006804CC"/>
    <w:rsid w:val="00683095"/>
    <w:rsid w:val="00683A97"/>
    <w:rsid w:val="006840DD"/>
    <w:rsid w:val="00684746"/>
    <w:rsid w:val="0068782F"/>
    <w:rsid w:val="006906C3"/>
    <w:rsid w:val="00690867"/>
    <w:rsid w:val="00693FA2"/>
    <w:rsid w:val="00695CA9"/>
    <w:rsid w:val="006977F8"/>
    <w:rsid w:val="006A0E63"/>
    <w:rsid w:val="006A1065"/>
    <w:rsid w:val="006A286A"/>
    <w:rsid w:val="006A39C6"/>
    <w:rsid w:val="006A4217"/>
    <w:rsid w:val="006A4D32"/>
    <w:rsid w:val="006A6567"/>
    <w:rsid w:val="006A7C22"/>
    <w:rsid w:val="006B1667"/>
    <w:rsid w:val="006B1AD6"/>
    <w:rsid w:val="006B21CA"/>
    <w:rsid w:val="006B355A"/>
    <w:rsid w:val="006B7D75"/>
    <w:rsid w:val="006C22CD"/>
    <w:rsid w:val="006C3B63"/>
    <w:rsid w:val="006C50C6"/>
    <w:rsid w:val="006C51BB"/>
    <w:rsid w:val="006C7AB7"/>
    <w:rsid w:val="006D43EB"/>
    <w:rsid w:val="006D66F1"/>
    <w:rsid w:val="006E03E1"/>
    <w:rsid w:val="006E13D7"/>
    <w:rsid w:val="006E30D4"/>
    <w:rsid w:val="006E347E"/>
    <w:rsid w:val="006E4BA1"/>
    <w:rsid w:val="006F2828"/>
    <w:rsid w:val="006F5BCC"/>
    <w:rsid w:val="006F6F2B"/>
    <w:rsid w:val="00702683"/>
    <w:rsid w:val="00702B27"/>
    <w:rsid w:val="00703D09"/>
    <w:rsid w:val="00704579"/>
    <w:rsid w:val="007054A7"/>
    <w:rsid w:val="00707361"/>
    <w:rsid w:val="00707971"/>
    <w:rsid w:val="00707EED"/>
    <w:rsid w:val="007112F5"/>
    <w:rsid w:val="0071316F"/>
    <w:rsid w:val="00714F6D"/>
    <w:rsid w:val="00725553"/>
    <w:rsid w:val="00725808"/>
    <w:rsid w:val="007302BB"/>
    <w:rsid w:val="007303C1"/>
    <w:rsid w:val="00730B9F"/>
    <w:rsid w:val="007329A4"/>
    <w:rsid w:val="00734963"/>
    <w:rsid w:val="00734A46"/>
    <w:rsid w:val="00737C08"/>
    <w:rsid w:val="007417CF"/>
    <w:rsid w:val="00741D55"/>
    <w:rsid w:val="00743743"/>
    <w:rsid w:val="00744B3D"/>
    <w:rsid w:val="00744EE1"/>
    <w:rsid w:val="007450C9"/>
    <w:rsid w:val="007452BA"/>
    <w:rsid w:val="00745A2E"/>
    <w:rsid w:val="007465C4"/>
    <w:rsid w:val="00751342"/>
    <w:rsid w:val="0075366D"/>
    <w:rsid w:val="007543CD"/>
    <w:rsid w:val="0075498F"/>
    <w:rsid w:val="00754F51"/>
    <w:rsid w:val="007575BA"/>
    <w:rsid w:val="00757792"/>
    <w:rsid w:val="00761D0A"/>
    <w:rsid w:val="00762AD2"/>
    <w:rsid w:val="00762CAF"/>
    <w:rsid w:val="00764796"/>
    <w:rsid w:val="0076526D"/>
    <w:rsid w:val="00766FA0"/>
    <w:rsid w:val="00767AAA"/>
    <w:rsid w:val="00770C90"/>
    <w:rsid w:val="007731F1"/>
    <w:rsid w:val="0077429C"/>
    <w:rsid w:val="00775B60"/>
    <w:rsid w:val="00780867"/>
    <w:rsid w:val="0078136E"/>
    <w:rsid w:val="0078142D"/>
    <w:rsid w:val="00781661"/>
    <w:rsid w:val="0078301B"/>
    <w:rsid w:val="00783DDF"/>
    <w:rsid w:val="00785910"/>
    <w:rsid w:val="00790784"/>
    <w:rsid w:val="007909B1"/>
    <w:rsid w:val="00790BBD"/>
    <w:rsid w:val="007932ED"/>
    <w:rsid w:val="007933BB"/>
    <w:rsid w:val="00793C61"/>
    <w:rsid w:val="0079472A"/>
    <w:rsid w:val="00797BE8"/>
    <w:rsid w:val="007A0766"/>
    <w:rsid w:val="007A4AA0"/>
    <w:rsid w:val="007A5814"/>
    <w:rsid w:val="007A6612"/>
    <w:rsid w:val="007A72B4"/>
    <w:rsid w:val="007A7648"/>
    <w:rsid w:val="007A7AF6"/>
    <w:rsid w:val="007B19EB"/>
    <w:rsid w:val="007B4758"/>
    <w:rsid w:val="007C0274"/>
    <w:rsid w:val="007C0701"/>
    <w:rsid w:val="007C2B84"/>
    <w:rsid w:val="007C33E9"/>
    <w:rsid w:val="007C4020"/>
    <w:rsid w:val="007C690E"/>
    <w:rsid w:val="007D24BA"/>
    <w:rsid w:val="007D292F"/>
    <w:rsid w:val="007D5680"/>
    <w:rsid w:val="007D677F"/>
    <w:rsid w:val="007E092D"/>
    <w:rsid w:val="007E1856"/>
    <w:rsid w:val="007E2928"/>
    <w:rsid w:val="007E7B4C"/>
    <w:rsid w:val="007F0A67"/>
    <w:rsid w:val="007F4917"/>
    <w:rsid w:val="007F5DBD"/>
    <w:rsid w:val="007F69DD"/>
    <w:rsid w:val="00802580"/>
    <w:rsid w:val="0080291B"/>
    <w:rsid w:val="00802FBE"/>
    <w:rsid w:val="008032B2"/>
    <w:rsid w:val="00805C77"/>
    <w:rsid w:val="008172BB"/>
    <w:rsid w:val="00821D33"/>
    <w:rsid w:val="0082245D"/>
    <w:rsid w:val="00823832"/>
    <w:rsid w:val="00825EB8"/>
    <w:rsid w:val="00827A3F"/>
    <w:rsid w:val="00833EBA"/>
    <w:rsid w:val="00837814"/>
    <w:rsid w:val="008412FD"/>
    <w:rsid w:val="00841EB6"/>
    <w:rsid w:val="00843C8F"/>
    <w:rsid w:val="00844A50"/>
    <w:rsid w:val="00845B22"/>
    <w:rsid w:val="00851BBD"/>
    <w:rsid w:val="00852B14"/>
    <w:rsid w:val="00853F19"/>
    <w:rsid w:val="00854F84"/>
    <w:rsid w:val="00855DF2"/>
    <w:rsid w:val="00856392"/>
    <w:rsid w:val="008575BA"/>
    <w:rsid w:val="00857E6D"/>
    <w:rsid w:val="00857EB3"/>
    <w:rsid w:val="00860654"/>
    <w:rsid w:val="00860E63"/>
    <w:rsid w:val="00861977"/>
    <w:rsid w:val="00862E79"/>
    <w:rsid w:val="00864FBC"/>
    <w:rsid w:val="008655D8"/>
    <w:rsid w:val="00867BD7"/>
    <w:rsid w:val="00867DED"/>
    <w:rsid w:val="00871BA0"/>
    <w:rsid w:val="00881341"/>
    <w:rsid w:val="00881CD2"/>
    <w:rsid w:val="008829C5"/>
    <w:rsid w:val="008846F8"/>
    <w:rsid w:val="00890DA5"/>
    <w:rsid w:val="008922B9"/>
    <w:rsid w:val="008936A5"/>
    <w:rsid w:val="008940D0"/>
    <w:rsid w:val="0089607F"/>
    <w:rsid w:val="008961F6"/>
    <w:rsid w:val="00896408"/>
    <w:rsid w:val="008A0342"/>
    <w:rsid w:val="008A42A7"/>
    <w:rsid w:val="008A4831"/>
    <w:rsid w:val="008A727E"/>
    <w:rsid w:val="008A7613"/>
    <w:rsid w:val="008A7976"/>
    <w:rsid w:val="008B0408"/>
    <w:rsid w:val="008B19B1"/>
    <w:rsid w:val="008B286F"/>
    <w:rsid w:val="008C0A8B"/>
    <w:rsid w:val="008C31E0"/>
    <w:rsid w:val="008C3731"/>
    <w:rsid w:val="008C4B61"/>
    <w:rsid w:val="008D193F"/>
    <w:rsid w:val="008D3F89"/>
    <w:rsid w:val="008D3FED"/>
    <w:rsid w:val="008D4209"/>
    <w:rsid w:val="008D493B"/>
    <w:rsid w:val="008D63F4"/>
    <w:rsid w:val="008D69A9"/>
    <w:rsid w:val="008E0956"/>
    <w:rsid w:val="008E2061"/>
    <w:rsid w:val="008F303E"/>
    <w:rsid w:val="008F3207"/>
    <w:rsid w:val="008F4513"/>
    <w:rsid w:val="008F521F"/>
    <w:rsid w:val="008F6E98"/>
    <w:rsid w:val="00900991"/>
    <w:rsid w:val="00900A98"/>
    <w:rsid w:val="00901258"/>
    <w:rsid w:val="00902350"/>
    <w:rsid w:val="009078CA"/>
    <w:rsid w:val="00910AC5"/>
    <w:rsid w:val="009114E0"/>
    <w:rsid w:val="009148BB"/>
    <w:rsid w:val="00915406"/>
    <w:rsid w:val="009213E5"/>
    <w:rsid w:val="00922798"/>
    <w:rsid w:val="0092497A"/>
    <w:rsid w:val="0092598B"/>
    <w:rsid w:val="009264AB"/>
    <w:rsid w:val="009302FC"/>
    <w:rsid w:val="00931200"/>
    <w:rsid w:val="0093254B"/>
    <w:rsid w:val="00932A30"/>
    <w:rsid w:val="00933191"/>
    <w:rsid w:val="00933384"/>
    <w:rsid w:val="009345B6"/>
    <w:rsid w:val="00935424"/>
    <w:rsid w:val="0093666E"/>
    <w:rsid w:val="009367BE"/>
    <w:rsid w:val="00937AB7"/>
    <w:rsid w:val="00937F80"/>
    <w:rsid w:val="009405C4"/>
    <w:rsid w:val="00942F98"/>
    <w:rsid w:val="00943713"/>
    <w:rsid w:val="00943760"/>
    <w:rsid w:val="00944E60"/>
    <w:rsid w:val="00945406"/>
    <w:rsid w:val="00946303"/>
    <w:rsid w:val="009531EC"/>
    <w:rsid w:val="0095348C"/>
    <w:rsid w:val="0095613B"/>
    <w:rsid w:val="009564F5"/>
    <w:rsid w:val="00961CED"/>
    <w:rsid w:val="0096341A"/>
    <w:rsid w:val="0096457C"/>
    <w:rsid w:val="00964971"/>
    <w:rsid w:val="009728BA"/>
    <w:rsid w:val="00972C5A"/>
    <w:rsid w:val="009740DC"/>
    <w:rsid w:val="00974DEB"/>
    <w:rsid w:val="00975300"/>
    <w:rsid w:val="00975928"/>
    <w:rsid w:val="009770FF"/>
    <w:rsid w:val="00977DCA"/>
    <w:rsid w:val="00981858"/>
    <w:rsid w:val="00981DB6"/>
    <w:rsid w:val="00983106"/>
    <w:rsid w:val="00985FB1"/>
    <w:rsid w:val="009910D4"/>
    <w:rsid w:val="00994CF5"/>
    <w:rsid w:val="00995246"/>
    <w:rsid w:val="00996611"/>
    <w:rsid w:val="009A031A"/>
    <w:rsid w:val="009A0611"/>
    <w:rsid w:val="009A099D"/>
    <w:rsid w:val="009A227B"/>
    <w:rsid w:val="009A462F"/>
    <w:rsid w:val="009B0D5F"/>
    <w:rsid w:val="009B505D"/>
    <w:rsid w:val="009B6232"/>
    <w:rsid w:val="009C1381"/>
    <w:rsid w:val="009C560E"/>
    <w:rsid w:val="009C66A4"/>
    <w:rsid w:val="009D0D08"/>
    <w:rsid w:val="009E25DD"/>
    <w:rsid w:val="009E290E"/>
    <w:rsid w:val="009E2F6E"/>
    <w:rsid w:val="009E36AC"/>
    <w:rsid w:val="009E4425"/>
    <w:rsid w:val="009E46CD"/>
    <w:rsid w:val="009E5927"/>
    <w:rsid w:val="009F1868"/>
    <w:rsid w:val="009F5E09"/>
    <w:rsid w:val="009F7D8C"/>
    <w:rsid w:val="00A0122A"/>
    <w:rsid w:val="00A03BAA"/>
    <w:rsid w:val="00A0475A"/>
    <w:rsid w:val="00A05014"/>
    <w:rsid w:val="00A06159"/>
    <w:rsid w:val="00A07F2D"/>
    <w:rsid w:val="00A13262"/>
    <w:rsid w:val="00A1502A"/>
    <w:rsid w:val="00A271EB"/>
    <w:rsid w:val="00A33034"/>
    <w:rsid w:val="00A3315E"/>
    <w:rsid w:val="00A33CD1"/>
    <w:rsid w:val="00A41AD4"/>
    <w:rsid w:val="00A42CFD"/>
    <w:rsid w:val="00A50792"/>
    <w:rsid w:val="00A567A6"/>
    <w:rsid w:val="00A57F10"/>
    <w:rsid w:val="00A600FA"/>
    <w:rsid w:val="00A6097D"/>
    <w:rsid w:val="00A6549D"/>
    <w:rsid w:val="00A65BBA"/>
    <w:rsid w:val="00A67E9D"/>
    <w:rsid w:val="00A715BC"/>
    <w:rsid w:val="00A74F97"/>
    <w:rsid w:val="00A76456"/>
    <w:rsid w:val="00A8147E"/>
    <w:rsid w:val="00A836FC"/>
    <w:rsid w:val="00A84885"/>
    <w:rsid w:val="00A85F23"/>
    <w:rsid w:val="00A85FCC"/>
    <w:rsid w:val="00A86FE6"/>
    <w:rsid w:val="00A8772B"/>
    <w:rsid w:val="00A87B9E"/>
    <w:rsid w:val="00A90693"/>
    <w:rsid w:val="00A91290"/>
    <w:rsid w:val="00A912F2"/>
    <w:rsid w:val="00A915D2"/>
    <w:rsid w:val="00A92581"/>
    <w:rsid w:val="00A94398"/>
    <w:rsid w:val="00A95743"/>
    <w:rsid w:val="00A97104"/>
    <w:rsid w:val="00AA209A"/>
    <w:rsid w:val="00AA2BCA"/>
    <w:rsid w:val="00AA3439"/>
    <w:rsid w:val="00AA5160"/>
    <w:rsid w:val="00AA7F72"/>
    <w:rsid w:val="00AB14FF"/>
    <w:rsid w:val="00AB2388"/>
    <w:rsid w:val="00AB353D"/>
    <w:rsid w:val="00AB3CC6"/>
    <w:rsid w:val="00AB5904"/>
    <w:rsid w:val="00AC4DC0"/>
    <w:rsid w:val="00AC5D2E"/>
    <w:rsid w:val="00AC5E23"/>
    <w:rsid w:val="00AC643E"/>
    <w:rsid w:val="00AD22CF"/>
    <w:rsid w:val="00AD322D"/>
    <w:rsid w:val="00AD4B8E"/>
    <w:rsid w:val="00AD6929"/>
    <w:rsid w:val="00AD705F"/>
    <w:rsid w:val="00AE06FD"/>
    <w:rsid w:val="00AE2A59"/>
    <w:rsid w:val="00AE36C1"/>
    <w:rsid w:val="00AE4A05"/>
    <w:rsid w:val="00AF1713"/>
    <w:rsid w:val="00AF4616"/>
    <w:rsid w:val="00B001FA"/>
    <w:rsid w:val="00B0026E"/>
    <w:rsid w:val="00B02645"/>
    <w:rsid w:val="00B02AA0"/>
    <w:rsid w:val="00B03743"/>
    <w:rsid w:val="00B038C7"/>
    <w:rsid w:val="00B03ED8"/>
    <w:rsid w:val="00B04A30"/>
    <w:rsid w:val="00B05D4F"/>
    <w:rsid w:val="00B06102"/>
    <w:rsid w:val="00B12827"/>
    <w:rsid w:val="00B14570"/>
    <w:rsid w:val="00B14E92"/>
    <w:rsid w:val="00B14F3F"/>
    <w:rsid w:val="00B1604D"/>
    <w:rsid w:val="00B16233"/>
    <w:rsid w:val="00B17737"/>
    <w:rsid w:val="00B209FB"/>
    <w:rsid w:val="00B20D76"/>
    <w:rsid w:val="00B23FC9"/>
    <w:rsid w:val="00B2424C"/>
    <w:rsid w:val="00B24E9C"/>
    <w:rsid w:val="00B25A75"/>
    <w:rsid w:val="00B26419"/>
    <w:rsid w:val="00B27481"/>
    <w:rsid w:val="00B30AE7"/>
    <w:rsid w:val="00B30D5D"/>
    <w:rsid w:val="00B32A5A"/>
    <w:rsid w:val="00B332E9"/>
    <w:rsid w:val="00B3638E"/>
    <w:rsid w:val="00B368D9"/>
    <w:rsid w:val="00B37C76"/>
    <w:rsid w:val="00B41ADC"/>
    <w:rsid w:val="00B41DD0"/>
    <w:rsid w:val="00B44A30"/>
    <w:rsid w:val="00B45F1D"/>
    <w:rsid w:val="00B4700C"/>
    <w:rsid w:val="00B47630"/>
    <w:rsid w:val="00B5007A"/>
    <w:rsid w:val="00B53811"/>
    <w:rsid w:val="00B5439C"/>
    <w:rsid w:val="00B54C55"/>
    <w:rsid w:val="00B636B5"/>
    <w:rsid w:val="00B647E0"/>
    <w:rsid w:val="00B675D5"/>
    <w:rsid w:val="00B70BB7"/>
    <w:rsid w:val="00B70E4A"/>
    <w:rsid w:val="00B70F16"/>
    <w:rsid w:val="00B715F8"/>
    <w:rsid w:val="00B71BF1"/>
    <w:rsid w:val="00B72057"/>
    <w:rsid w:val="00B7205F"/>
    <w:rsid w:val="00B72FED"/>
    <w:rsid w:val="00B7400E"/>
    <w:rsid w:val="00B7512C"/>
    <w:rsid w:val="00B7629B"/>
    <w:rsid w:val="00B82F3C"/>
    <w:rsid w:val="00B83BDA"/>
    <w:rsid w:val="00B92702"/>
    <w:rsid w:val="00B93B97"/>
    <w:rsid w:val="00B94648"/>
    <w:rsid w:val="00B9752A"/>
    <w:rsid w:val="00BA0BA9"/>
    <w:rsid w:val="00BA1494"/>
    <w:rsid w:val="00BA2186"/>
    <w:rsid w:val="00BA42A2"/>
    <w:rsid w:val="00BA67AF"/>
    <w:rsid w:val="00BA7DF0"/>
    <w:rsid w:val="00BA7E31"/>
    <w:rsid w:val="00BB0355"/>
    <w:rsid w:val="00BB2430"/>
    <w:rsid w:val="00BB4B72"/>
    <w:rsid w:val="00BB4CA8"/>
    <w:rsid w:val="00BB4EDC"/>
    <w:rsid w:val="00BB62EC"/>
    <w:rsid w:val="00BB6939"/>
    <w:rsid w:val="00BB7584"/>
    <w:rsid w:val="00BB7B54"/>
    <w:rsid w:val="00BC2213"/>
    <w:rsid w:val="00BC2606"/>
    <w:rsid w:val="00BC3FAD"/>
    <w:rsid w:val="00BC471E"/>
    <w:rsid w:val="00BC503A"/>
    <w:rsid w:val="00BC5B4A"/>
    <w:rsid w:val="00BC5BF9"/>
    <w:rsid w:val="00BC67CB"/>
    <w:rsid w:val="00BD0A2B"/>
    <w:rsid w:val="00BD2325"/>
    <w:rsid w:val="00BD6F13"/>
    <w:rsid w:val="00BE1A22"/>
    <w:rsid w:val="00BE25D1"/>
    <w:rsid w:val="00BE25E6"/>
    <w:rsid w:val="00BE2609"/>
    <w:rsid w:val="00BE34E0"/>
    <w:rsid w:val="00BE4063"/>
    <w:rsid w:val="00BE47EC"/>
    <w:rsid w:val="00BE7E8B"/>
    <w:rsid w:val="00BF1AD0"/>
    <w:rsid w:val="00BF3DC6"/>
    <w:rsid w:val="00BF68D0"/>
    <w:rsid w:val="00BF6ABA"/>
    <w:rsid w:val="00BF747F"/>
    <w:rsid w:val="00C01D29"/>
    <w:rsid w:val="00C0504A"/>
    <w:rsid w:val="00C11322"/>
    <w:rsid w:val="00C1238F"/>
    <w:rsid w:val="00C12569"/>
    <w:rsid w:val="00C13580"/>
    <w:rsid w:val="00C14306"/>
    <w:rsid w:val="00C1560A"/>
    <w:rsid w:val="00C156FE"/>
    <w:rsid w:val="00C21130"/>
    <w:rsid w:val="00C22848"/>
    <w:rsid w:val="00C23EBA"/>
    <w:rsid w:val="00C247C3"/>
    <w:rsid w:val="00C24F8D"/>
    <w:rsid w:val="00C2502C"/>
    <w:rsid w:val="00C25ED8"/>
    <w:rsid w:val="00C323DF"/>
    <w:rsid w:val="00C32A25"/>
    <w:rsid w:val="00C33BE4"/>
    <w:rsid w:val="00C35309"/>
    <w:rsid w:val="00C35E2F"/>
    <w:rsid w:val="00C35F8F"/>
    <w:rsid w:val="00C360A3"/>
    <w:rsid w:val="00C41A52"/>
    <w:rsid w:val="00C41A63"/>
    <w:rsid w:val="00C42F8F"/>
    <w:rsid w:val="00C43A6C"/>
    <w:rsid w:val="00C44B95"/>
    <w:rsid w:val="00C45B76"/>
    <w:rsid w:val="00C46FAE"/>
    <w:rsid w:val="00C54278"/>
    <w:rsid w:val="00C56C4E"/>
    <w:rsid w:val="00C6021B"/>
    <w:rsid w:val="00C60FA1"/>
    <w:rsid w:val="00C61B53"/>
    <w:rsid w:val="00C62894"/>
    <w:rsid w:val="00C62E00"/>
    <w:rsid w:val="00C63431"/>
    <w:rsid w:val="00C64DFA"/>
    <w:rsid w:val="00C720A2"/>
    <w:rsid w:val="00C74210"/>
    <w:rsid w:val="00C756FC"/>
    <w:rsid w:val="00C767FF"/>
    <w:rsid w:val="00C77098"/>
    <w:rsid w:val="00C776B8"/>
    <w:rsid w:val="00C823A2"/>
    <w:rsid w:val="00C827B5"/>
    <w:rsid w:val="00C84586"/>
    <w:rsid w:val="00C8496C"/>
    <w:rsid w:val="00C84CD8"/>
    <w:rsid w:val="00C84D85"/>
    <w:rsid w:val="00C8651A"/>
    <w:rsid w:val="00C86B15"/>
    <w:rsid w:val="00C9236C"/>
    <w:rsid w:val="00C92703"/>
    <w:rsid w:val="00C927C4"/>
    <w:rsid w:val="00C9476F"/>
    <w:rsid w:val="00C97396"/>
    <w:rsid w:val="00C97D1D"/>
    <w:rsid w:val="00CA00DB"/>
    <w:rsid w:val="00CA3468"/>
    <w:rsid w:val="00CA4A96"/>
    <w:rsid w:val="00CA6D22"/>
    <w:rsid w:val="00CA70AA"/>
    <w:rsid w:val="00CB07D8"/>
    <w:rsid w:val="00CB13E9"/>
    <w:rsid w:val="00CB1DF6"/>
    <w:rsid w:val="00CB46B9"/>
    <w:rsid w:val="00CB53F7"/>
    <w:rsid w:val="00CB5652"/>
    <w:rsid w:val="00CB5A40"/>
    <w:rsid w:val="00CC1CA7"/>
    <w:rsid w:val="00CC4C5B"/>
    <w:rsid w:val="00CD1737"/>
    <w:rsid w:val="00CD47A3"/>
    <w:rsid w:val="00CE0537"/>
    <w:rsid w:val="00CE155D"/>
    <w:rsid w:val="00CE1BFF"/>
    <w:rsid w:val="00CE6A4A"/>
    <w:rsid w:val="00CE6CB0"/>
    <w:rsid w:val="00CE71A2"/>
    <w:rsid w:val="00CE7B9C"/>
    <w:rsid w:val="00CF029E"/>
    <w:rsid w:val="00CF0A0D"/>
    <w:rsid w:val="00CF5ACB"/>
    <w:rsid w:val="00D0081E"/>
    <w:rsid w:val="00D027D6"/>
    <w:rsid w:val="00D03072"/>
    <w:rsid w:val="00D03473"/>
    <w:rsid w:val="00D039D3"/>
    <w:rsid w:val="00D065F5"/>
    <w:rsid w:val="00D10170"/>
    <w:rsid w:val="00D15F5A"/>
    <w:rsid w:val="00D17EA8"/>
    <w:rsid w:val="00D213F0"/>
    <w:rsid w:val="00D2281C"/>
    <w:rsid w:val="00D26016"/>
    <w:rsid w:val="00D26541"/>
    <w:rsid w:val="00D329AE"/>
    <w:rsid w:val="00D3344D"/>
    <w:rsid w:val="00D37677"/>
    <w:rsid w:val="00D44463"/>
    <w:rsid w:val="00D44A43"/>
    <w:rsid w:val="00D452D3"/>
    <w:rsid w:val="00D4590D"/>
    <w:rsid w:val="00D47A24"/>
    <w:rsid w:val="00D5143E"/>
    <w:rsid w:val="00D51C18"/>
    <w:rsid w:val="00D52B26"/>
    <w:rsid w:val="00D53B50"/>
    <w:rsid w:val="00D54895"/>
    <w:rsid w:val="00D54FDE"/>
    <w:rsid w:val="00D55129"/>
    <w:rsid w:val="00D567EE"/>
    <w:rsid w:val="00D577BB"/>
    <w:rsid w:val="00D60E07"/>
    <w:rsid w:val="00D61AA1"/>
    <w:rsid w:val="00D61CB8"/>
    <w:rsid w:val="00D63872"/>
    <w:rsid w:val="00D643FC"/>
    <w:rsid w:val="00D64E88"/>
    <w:rsid w:val="00D65333"/>
    <w:rsid w:val="00D653D9"/>
    <w:rsid w:val="00D663D0"/>
    <w:rsid w:val="00D66AFD"/>
    <w:rsid w:val="00D677A2"/>
    <w:rsid w:val="00D722F6"/>
    <w:rsid w:val="00D73798"/>
    <w:rsid w:val="00D8285A"/>
    <w:rsid w:val="00D82D54"/>
    <w:rsid w:val="00D83F42"/>
    <w:rsid w:val="00D8440F"/>
    <w:rsid w:val="00D85498"/>
    <w:rsid w:val="00D912AE"/>
    <w:rsid w:val="00D9160B"/>
    <w:rsid w:val="00D91635"/>
    <w:rsid w:val="00D923BE"/>
    <w:rsid w:val="00D92AB5"/>
    <w:rsid w:val="00D931B9"/>
    <w:rsid w:val="00D940B9"/>
    <w:rsid w:val="00D96E6E"/>
    <w:rsid w:val="00DA0503"/>
    <w:rsid w:val="00DA367F"/>
    <w:rsid w:val="00DA453B"/>
    <w:rsid w:val="00DA5534"/>
    <w:rsid w:val="00DA629F"/>
    <w:rsid w:val="00DA7A72"/>
    <w:rsid w:val="00DB075A"/>
    <w:rsid w:val="00DB0B65"/>
    <w:rsid w:val="00DB14C6"/>
    <w:rsid w:val="00DB1B13"/>
    <w:rsid w:val="00DB1DB0"/>
    <w:rsid w:val="00DB2CCB"/>
    <w:rsid w:val="00DB5084"/>
    <w:rsid w:val="00DB5183"/>
    <w:rsid w:val="00DB51C8"/>
    <w:rsid w:val="00DB5870"/>
    <w:rsid w:val="00DB6569"/>
    <w:rsid w:val="00DB6ED2"/>
    <w:rsid w:val="00DC0243"/>
    <w:rsid w:val="00DC07B7"/>
    <w:rsid w:val="00DC097C"/>
    <w:rsid w:val="00DC132E"/>
    <w:rsid w:val="00DC2E6E"/>
    <w:rsid w:val="00DC3C97"/>
    <w:rsid w:val="00DC46D1"/>
    <w:rsid w:val="00DD08F1"/>
    <w:rsid w:val="00DD11CB"/>
    <w:rsid w:val="00DD25B6"/>
    <w:rsid w:val="00DD5ECB"/>
    <w:rsid w:val="00DD6539"/>
    <w:rsid w:val="00DD6D69"/>
    <w:rsid w:val="00DE0D59"/>
    <w:rsid w:val="00DE1BAA"/>
    <w:rsid w:val="00DE392A"/>
    <w:rsid w:val="00DE3E78"/>
    <w:rsid w:val="00DE49CE"/>
    <w:rsid w:val="00DE524D"/>
    <w:rsid w:val="00DE57C8"/>
    <w:rsid w:val="00DE6A77"/>
    <w:rsid w:val="00DE6A7B"/>
    <w:rsid w:val="00DF0596"/>
    <w:rsid w:val="00DF337D"/>
    <w:rsid w:val="00DF4755"/>
    <w:rsid w:val="00DF4AEE"/>
    <w:rsid w:val="00E0238E"/>
    <w:rsid w:val="00E034F5"/>
    <w:rsid w:val="00E03617"/>
    <w:rsid w:val="00E073AD"/>
    <w:rsid w:val="00E0749E"/>
    <w:rsid w:val="00E07E96"/>
    <w:rsid w:val="00E10C1F"/>
    <w:rsid w:val="00E131EB"/>
    <w:rsid w:val="00E14F4D"/>
    <w:rsid w:val="00E17223"/>
    <w:rsid w:val="00E17F9D"/>
    <w:rsid w:val="00E20428"/>
    <w:rsid w:val="00E20C22"/>
    <w:rsid w:val="00E20E32"/>
    <w:rsid w:val="00E20EDD"/>
    <w:rsid w:val="00E2157C"/>
    <w:rsid w:val="00E21EEB"/>
    <w:rsid w:val="00E25B87"/>
    <w:rsid w:val="00E265AD"/>
    <w:rsid w:val="00E3056D"/>
    <w:rsid w:val="00E30C81"/>
    <w:rsid w:val="00E33A8E"/>
    <w:rsid w:val="00E33BAF"/>
    <w:rsid w:val="00E34104"/>
    <w:rsid w:val="00E35A6D"/>
    <w:rsid w:val="00E35AD2"/>
    <w:rsid w:val="00E35E76"/>
    <w:rsid w:val="00E417B9"/>
    <w:rsid w:val="00E47078"/>
    <w:rsid w:val="00E53B55"/>
    <w:rsid w:val="00E55D5E"/>
    <w:rsid w:val="00E56364"/>
    <w:rsid w:val="00E64215"/>
    <w:rsid w:val="00E64E99"/>
    <w:rsid w:val="00E64ECA"/>
    <w:rsid w:val="00E658DA"/>
    <w:rsid w:val="00E662FA"/>
    <w:rsid w:val="00E66DF4"/>
    <w:rsid w:val="00E708B5"/>
    <w:rsid w:val="00E70ACF"/>
    <w:rsid w:val="00E71E86"/>
    <w:rsid w:val="00E7205F"/>
    <w:rsid w:val="00E73C4A"/>
    <w:rsid w:val="00E74600"/>
    <w:rsid w:val="00E75207"/>
    <w:rsid w:val="00E757E3"/>
    <w:rsid w:val="00E75DAB"/>
    <w:rsid w:val="00E76A48"/>
    <w:rsid w:val="00E8067B"/>
    <w:rsid w:val="00E80C4A"/>
    <w:rsid w:val="00E817B7"/>
    <w:rsid w:val="00E8367E"/>
    <w:rsid w:val="00E83943"/>
    <w:rsid w:val="00E85265"/>
    <w:rsid w:val="00E86352"/>
    <w:rsid w:val="00E90124"/>
    <w:rsid w:val="00E9014F"/>
    <w:rsid w:val="00E908CC"/>
    <w:rsid w:val="00E9445D"/>
    <w:rsid w:val="00E94A14"/>
    <w:rsid w:val="00EA0D2A"/>
    <w:rsid w:val="00EA1C65"/>
    <w:rsid w:val="00EA23D6"/>
    <w:rsid w:val="00EA269B"/>
    <w:rsid w:val="00EA5188"/>
    <w:rsid w:val="00EA6041"/>
    <w:rsid w:val="00EB1200"/>
    <w:rsid w:val="00EB179D"/>
    <w:rsid w:val="00EB1C9E"/>
    <w:rsid w:val="00EB26FB"/>
    <w:rsid w:val="00EB2783"/>
    <w:rsid w:val="00EB2E7D"/>
    <w:rsid w:val="00EB368D"/>
    <w:rsid w:val="00EB3A9C"/>
    <w:rsid w:val="00EB3FF1"/>
    <w:rsid w:val="00EB7024"/>
    <w:rsid w:val="00EC1FCF"/>
    <w:rsid w:val="00EC2F3D"/>
    <w:rsid w:val="00EC4C48"/>
    <w:rsid w:val="00EC5DD1"/>
    <w:rsid w:val="00EC66C3"/>
    <w:rsid w:val="00EC7763"/>
    <w:rsid w:val="00EC7C7E"/>
    <w:rsid w:val="00ED2C12"/>
    <w:rsid w:val="00EE076A"/>
    <w:rsid w:val="00EE0BFE"/>
    <w:rsid w:val="00EE0DF0"/>
    <w:rsid w:val="00EE1064"/>
    <w:rsid w:val="00EE13A7"/>
    <w:rsid w:val="00EE14E3"/>
    <w:rsid w:val="00EE2EAD"/>
    <w:rsid w:val="00EE4580"/>
    <w:rsid w:val="00EE68A2"/>
    <w:rsid w:val="00EE7D40"/>
    <w:rsid w:val="00EF0D5C"/>
    <w:rsid w:val="00EF1292"/>
    <w:rsid w:val="00EF17E4"/>
    <w:rsid w:val="00EF1E3B"/>
    <w:rsid w:val="00EF24C2"/>
    <w:rsid w:val="00EF57D0"/>
    <w:rsid w:val="00EF5F9F"/>
    <w:rsid w:val="00EF603E"/>
    <w:rsid w:val="00F014B7"/>
    <w:rsid w:val="00F01D58"/>
    <w:rsid w:val="00F04346"/>
    <w:rsid w:val="00F04EB8"/>
    <w:rsid w:val="00F0521B"/>
    <w:rsid w:val="00F058B8"/>
    <w:rsid w:val="00F0627C"/>
    <w:rsid w:val="00F0778C"/>
    <w:rsid w:val="00F117DB"/>
    <w:rsid w:val="00F1397A"/>
    <w:rsid w:val="00F15EA0"/>
    <w:rsid w:val="00F1618E"/>
    <w:rsid w:val="00F2007B"/>
    <w:rsid w:val="00F20F41"/>
    <w:rsid w:val="00F2118C"/>
    <w:rsid w:val="00F22805"/>
    <w:rsid w:val="00F234B8"/>
    <w:rsid w:val="00F2406A"/>
    <w:rsid w:val="00F32611"/>
    <w:rsid w:val="00F346B4"/>
    <w:rsid w:val="00F377F1"/>
    <w:rsid w:val="00F45A00"/>
    <w:rsid w:val="00F512F5"/>
    <w:rsid w:val="00F51CAB"/>
    <w:rsid w:val="00F531A0"/>
    <w:rsid w:val="00F53F87"/>
    <w:rsid w:val="00F605CB"/>
    <w:rsid w:val="00F61675"/>
    <w:rsid w:val="00F618ED"/>
    <w:rsid w:val="00F66587"/>
    <w:rsid w:val="00F667B2"/>
    <w:rsid w:val="00F67BF0"/>
    <w:rsid w:val="00F71729"/>
    <w:rsid w:val="00F7360E"/>
    <w:rsid w:val="00F7366E"/>
    <w:rsid w:val="00F749FA"/>
    <w:rsid w:val="00F74C55"/>
    <w:rsid w:val="00F76C98"/>
    <w:rsid w:val="00F81C1C"/>
    <w:rsid w:val="00F81E9C"/>
    <w:rsid w:val="00F81F53"/>
    <w:rsid w:val="00F82736"/>
    <w:rsid w:val="00F83124"/>
    <w:rsid w:val="00F83F38"/>
    <w:rsid w:val="00F84148"/>
    <w:rsid w:val="00F8423C"/>
    <w:rsid w:val="00F8504A"/>
    <w:rsid w:val="00F86871"/>
    <w:rsid w:val="00F86981"/>
    <w:rsid w:val="00F86AC7"/>
    <w:rsid w:val="00F90CFF"/>
    <w:rsid w:val="00F922A2"/>
    <w:rsid w:val="00F92325"/>
    <w:rsid w:val="00F923AD"/>
    <w:rsid w:val="00F94944"/>
    <w:rsid w:val="00F97621"/>
    <w:rsid w:val="00F976DF"/>
    <w:rsid w:val="00FA2D6F"/>
    <w:rsid w:val="00FA2FAA"/>
    <w:rsid w:val="00FA3716"/>
    <w:rsid w:val="00FA37F0"/>
    <w:rsid w:val="00FA454A"/>
    <w:rsid w:val="00FA7972"/>
    <w:rsid w:val="00FC190E"/>
    <w:rsid w:val="00FC1CCB"/>
    <w:rsid w:val="00FC5E16"/>
    <w:rsid w:val="00FC63EF"/>
    <w:rsid w:val="00FC75F1"/>
    <w:rsid w:val="00FC7919"/>
    <w:rsid w:val="00FD09E7"/>
    <w:rsid w:val="00FD0EBD"/>
    <w:rsid w:val="00FD1078"/>
    <w:rsid w:val="00FD192F"/>
    <w:rsid w:val="00FD1B86"/>
    <w:rsid w:val="00FD5026"/>
    <w:rsid w:val="00FD55C0"/>
    <w:rsid w:val="00FD607C"/>
    <w:rsid w:val="00FD7857"/>
    <w:rsid w:val="00FE1148"/>
    <w:rsid w:val="00FE3A30"/>
    <w:rsid w:val="00FE4A6E"/>
    <w:rsid w:val="00FE57D7"/>
    <w:rsid w:val="00FE7246"/>
    <w:rsid w:val="00FF199B"/>
    <w:rsid w:val="00FF25FB"/>
    <w:rsid w:val="00FF29CA"/>
    <w:rsid w:val="00FF2AF8"/>
    <w:rsid w:val="00FF3CF6"/>
    <w:rsid w:val="00FF47BD"/>
    <w:rsid w:val="00FF5B73"/>
    <w:rsid w:val="00FF6435"/>
    <w:rsid w:val="00FF712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6EB44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7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paragraph" w:styleId="Heading8">
    <w:name w:val="heading 8"/>
    <w:basedOn w:val="Heading7"/>
    <w:next w:val="Normal"/>
    <w:link w:val="Heading8Char"/>
    <w:qFormat/>
    <w:rsid w:val="00DA5534"/>
    <w:pPr>
      <w:tabs>
        <w:tab w:val="clear" w:pos="1296"/>
        <w:tab w:val="num" w:pos="5760"/>
      </w:tabs>
      <w:ind w:left="5760" w:hanging="360"/>
      <w:outlineLvl w:val="7"/>
    </w:pPr>
  </w:style>
  <w:style w:type="paragraph" w:styleId="Heading9">
    <w:name w:val="heading 9"/>
    <w:aliases w:val="Figure Heading,FH"/>
    <w:basedOn w:val="Heading8"/>
    <w:next w:val="Normal"/>
    <w:link w:val="Heading9Char"/>
    <w:qFormat/>
    <w:rsid w:val="00DA5534"/>
    <w:pPr>
      <w:tabs>
        <w:tab w:val="clear" w:pos="5760"/>
        <w:tab w:val="num" w:pos="6480"/>
      </w:tabs>
      <w:ind w:left="648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3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列出段落,Lista1,中等深浅网格 1 - 着色 21,列出段落1,Bullet,リスト段落,列表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 ?? Char,????? Char,???? Char,列出段落 Char,Lista1 Char,中等深浅网格 1 - 着色 21 Char,列出段落1 Char,Bullet Char,リスト段落 Char,列表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qFormat/>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qForma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 w:type="character" w:customStyle="1" w:styleId="Heading8Char">
    <w:name w:val="Heading 8 Char"/>
    <w:basedOn w:val="DefaultParagraphFont"/>
    <w:link w:val="Heading8"/>
    <w:rsid w:val="00DA5534"/>
    <w:rPr>
      <w:rFonts w:eastAsiaTheme="majorEastAsia" w:hAnsiTheme="minorHAnsi" w:cs="Arial"/>
      <w:sz w:val="20"/>
      <w:szCs w:val="20"/>
      <w:lang w:val="en-GB" w:eastAsia="zh-CN"/>
    </w:rPr>
  </w:style>
  <w:style w:type="character" w:customStyle="1" w:styleId="Heading9Char">
    <w:name w:val="Heading 9 Char"/>
    <w:aliases w:val="Figure Heading Char,FH Char"/>
    <w:basedOn w:val="DefaultParagraphFont"/>
    <w:link w:val="Heading9"/>
    <w:rsid w:val="00DA5534"/>
    <w:rPr>
      <w:rFonts w:eastAsiaTheme="majorEastAsia" w:hAnsiTheme="minorHAnsi" w:cs="Arial"/>
      <w:sz w:val="20"/>
      <w:szCs w:val="20"/>
      <w:lang w:val="en-GB" w:eastAsia="zh-CN"/>
    </w:rPr>
  </w:style>
  <w:style w:type="paragraph" w:customStyle="1" w:styleId="Observation">
    <w:name w:val="Observation"/>
    <w:basedOn w:val="Normal"/>
    <w:autoRedefine/>
    <w:qFormat/>
    <w:rsid w:val="00DA5534"/>
    <w:pPr>
      <w:numPr>
        <w:numId w:val="39"/>
      </w:numPr>
      <w:overflowPunct w:val="0"/>
      <w:autoSpaceDE w:val="0"/>
      <w:autoSpaceDN w:val="0"/>
      <w:adjustRightInd w:val="0"/>
      <w:spacing w:after="120"/>
      <w:ind w:left="1530" w:hanging="1530"/>
      <w:jc w:val="both"/>
      <w:textAlignment w:val="baseline"/>
    </w:pPr>
    <w:rPr>
      <w:rFonts w:asciiTheme="minorHAnsi" w:eastAsiaTheme="minorEastAsia" w:hAnsiTheme="minorHAnsi" w:cstheme="minorBidi"/>
      <w:b/>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77647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327253223">
      <w:bodyDiv w:val="1"/>
      <w:marLeft w:val="0"/>
      <w:marRight w:val="0"/>
      <w:marTop w:val="0"/>
      <w:marBottom w:val="0"/>
      <w:divBdr>
        <w:top w:val="none" w:sz="0" w:space="0" w:color="auto"/>
        <w:left w:val="none" w:sz="0" w:space="0" w:color="auto"/>
        <w:bottom w:val="none" w:sz="0" w:space="0" w:color="auto"/>
        <w:right w:val="none" w:sz="0" w:space="0" w:color="auto"/>
      </w:divBdr>
    </w:div>
    <w:div w:id="377240110">
      <w:bodyDiv w:val="1"/>
      <w:marLeft w:val="0"/>
      <w:marRight w:val="0"/>
      <w:marTop w:val="0"/>
      <w:marBottom w:val="0"/>
      <w:divBdr>
        <w:top w:val="none" w:sz="0" w:space="0" w:color="auto"/>
        <w:left w:val="none" w:sz="0" w:space="0" w:color="auto"/>
        <w:bottom w:val="none" w:sz="0" w:space="0" w:color="auto"/>
        <w:right w:val="none" w:sz="0" w:space="0" w:color="auto"/>
      </w:divBdr>
    </w:div>
    <w:div w:id="380980643">
      <w:bodyDiv w:val="1"/>
      <w:marLeft w:val="0"/>
      <w:marRight w:val="0"/>
      <w:marTop w:val="0"/>
      <w:marBottom w:val="0"/>
      <w:divBdr>
        <w:top w:val="none" w:sz="0" w:space="0" w:color="auto"/>
        <w:left w:val="none" w:sz="0" w:space="0" w:color="auto"/>
        <w:bottom w:val="none" w:sz="0" w:space="0" w:color="auto"/>
        <w:right w:val="none" w:sz="0" w:space="0" w:color="auto"/>
      </w:divBdr>
    </w:div>
    <w:div w:id="409082191">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35988677">
      <w:bodyDiv w:val="1"/>
      <w:marLeft w:val="0"/>
      <w:marRight w:val="0"/>
      <w:marTop w:val="0"/>
      <w:marBottom w:val="0"/>
      <w:divBdr>
        <w:top w:val="none" w:sz="0" w:space="0" w:color="auto"/>
        <w:left w:val="none" w:sz="0" w:space="0" w:color="auto"/>
        <w:bottom w:val="none" w:sz="0" w:space="0" w:color="auto"/>
        <w:right w:val="none" w:sz="0" w:space="0" w:color="auto"/>
      </w:divBdr>
    </w:div>
    <w:div w:id="662666957">
      <w:bodyDiv w:val="1"/>
      <w:marLeft w:val="0"/>
      <w:marRight w:val="0"/>
      <w:marTop w:val="0"/>
      <w:marBottom w:val="0"/>
      <w:divBdr>
        <w:top w:val="none" w:sz="0" w:space="0" w:color="auto"/>
        <w:left w:val="none" w:sz="0" w:space="0" w:color="auto"/>
        <w:bottom w:val="none" w:sz="0" w:space="0" w:color="auto"/>
        <w:right w:val="none" w:sz="0" w:space="0" w:color="auto"/>
      </w:divBdr>
    </w:div>
    <w:div w:id="665978225">
      <w:bodyDiv w:val="1"/>
      <w:marLeft w:val="0"/>
      <w:marRight w:val="0"/>
      <w:marTop w:val="0"/>
      <w:marBottom w:val="0"/>
      <w:divBdr>
        <w:top w:val="none" w:sz="0" w:space="0" w:color="auto"/>
        <w:left w:val="none" w:sz="0" w:space="0" w:color="auto"/>
        <w:bottom w:val="none" w:sz="0" w:space="0" w:color="auto"/>
        <w:right w:val="none" w:sz="0" w:space="0" w:color="auto"/>
      </w:divBdr>
    </w:div>
    <w:div w:id="759912373">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925267310">
      <w:bodyDiv w:val="1"/>
      <w:marLeft w:val="0"/>
      <w:marRight w:val="0"/>
      <w:marTop w:val="0"/>
      <w:marBottom w:val="0"/>
      <w:divBdr>
        <w:top w:val="none" w:sz="0" w:space="0" w:color="auto"/>
        <w:left w:val="none" w:sz="0" w:space="0" w:color="auto"/>
        <w:bottom w:val="none" w:sz="0" w:space="0" w:color="auto"/>
        <w:right w:val="none" w:sz="0" w:space="0" w:color="auto"/>
      </w:divBdr>
    </w:div>
    <w:div w:id="1015108230">
      <w:bodyDiv w:val="1"/>
      <w:marLeft w:val="0"/>
      <w:marRight w:val="0"/>
      <w:marTop w:val="0"/>
      <w:marBottom w:val="0"/>
      <w:divBdr>
        <w:top w:val="none" w:sz="0" w:space="0" w:color="auto"/>
        <w:left w:val="none" w:sz="0" w:space="0" w:color="auto"/>
        <w:bottom w:val="none" w:sz="0" w:space="0" w:color="auto"/>
        <w:right w:val="none" w:sz="0" w:space="0" w:color="auto"/>
      </w:divBdr>
    </w:div>
    <w:div w:id="1065638713">
      <w:bodyDiv w:val="1"/>
      <w:marLeft w:val="0"/>
      <w:marRight w:val="0"/>
      <w:marTop w:val="0"/>
      <w:marBottom w:val="0"/>
      <w:divBdr>
        <w:top w:val="none" w:sz="0" w:space="0" w:color="auto"/>
        <w:left w:val="none" w:sz="0" w:space="0" w:color="auto"/>
        <w:bottom w:val="none" w:sz="0" w:space="0" w:color="auto"/>
        <w:right w:val="none" w:sz="0" w:space="0" w:color="auto"/>
      </w:divBdr>
    </w:div>
    <w:div w:id="1076587874">
      <w:bodyDiv w:val="1"/>
      <w:marLeft w:val="0"/>
      <w:marRight w:val="0"/>
      <w:marTop w:val="0"/>
      <w:marBottom w:val="0"/>
      <w:divBdr>
        <w:top w:val="none" w:sz="0" w:space="0" w:color="auto"/>
        <w:left w:val="none" w:sz="0" w:space="0" w:color="auto"/>
        <w:bottom w:val="none" w:sz="0" w:space="0" w:color="auto"/>
        <w:right w:val="none" w:sz="0" w:space="0" w:color="auto"/>
      </w:divBdr>
    </w:div>
    <w:div w:id="1134762204">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089554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281690014">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443839537">
      <w:bodyDiv w:val="1"/>
      <w:marLeft w:val="0"/>
      <w:marRight w:val="0"/>
      <w:marTop w:val="0"/>
      <w:marBottom w:val="0"/>
      <w:divBdr>
        <w:top w:val="none" w:sz="0" w:space="0" w:color="auto"/>
        <w:left w:val="none" w:sz="0" w:space="0" w:color="auto"/>
        <w:bottom w:val="none" w:sz="0" w:space="0" w:color="auto"/>
        <w:right w:val="none" w:sz="0" w:space="0" w:color="auto"/>
      </w:divBdr>
    </w:div>
    <w:div w:id="1469086793">
      <w:bodyDiv w:val="1"/>
      <w:marLeft w:val="0"/>
      <w:marRight w:val="0"/>
      <w:marTop w:val="0"/>
      <w:marBottom w:val="0"/>
      <w:divBdr>
        <w:top w:val="none" w:sz="0" w:space="0" w:color="auto"/>
        <w:left w:val="none" w:sz="0" w:space="0" w:color="auto"/>
        <w:bottom w:val="none" w:sz="0" w:space="0" w:color="auto"/>
        <w:right w:val="none" w:sz="0" w:space="0" w:color="auto"/>
      </w:divBdr>
    </w:div>
    <w:div w:id="1606886467">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773553291">
      <w:bodyDiv w:val="1"/>
      <w:marLeft w:val="0"/>
      <w:marRight w:val="0"/>
      <w:marTop w:val="0"/>
      <w:marBottom w:val="0"/>
      <w:divBdr>
        <w:top w:val="none" w:sz="0" w:space="0" w:color="auto"/>
        <w:left w:val="none" w:sz="0" w:space="0" w:color="auto"/>
        <w:bottom w:val="none" w:sz="0" w:space="0" w:color="auto"/>
        <w:right w:val="none" w:sz="0" w:space="0" w:color="auto"/>
      </w:divBdr>
    </w:div>
    <w:div w:id="1834686625">
      <w:bodyDiv w:val="1"/>
      <w:marLeft w:val="0"/>
      <w:marRight w:val="0"/>
      <w:marTop w:val="0"/>
      <w:marBottom w:val="0"/>
      <w:divBdr>
        <w:top w:val="none" w:sz="0" w:space="0" w:color="auto"/>
        <w:left w:val="none" w:sz="0" w:space="0" w:color="auto"/>
        <w:bottom w:val="none" w:sz="0" w:space="0" w:color="auto"/>
        <w:right w:val="none" w:sz="0" w:space="0" w:color="auto"/>
      </w:divBdr>
    </w:div>
    <w:div w:id="1908688166">
      <w:bodyDiv w:val="1"/>
      <w:marLeft w:val="0"/>
      <w:marRight w:val="0"/>
      <w:marTop w:val="0"/>
      <w:marBottom w:val="0"/>
      <w:divBdr>
        <w:top w:val="none" w:sz="0" w:space="0" w:color="auto"/>
        <w:left w:val="none" w:sz="0" w:space="0" w:color="auto"/>
        <w:bottom w:val="none" w:sz="0" w:space="0" w:color="auto"/>
        <w:right w:val="none" w:sz="0" w:space="0" w:color="auto"/>
      </w:divBdr>
    </w:div>
    <w:div w:id="1937444201">
      <w:bodyDiv w:val="1"/>
      <w:marLeft w:val="0"/>
      <w:marRight w:val="0"/>
      <w:marTop w:val="0"/>
      <w:marBottom w:val="0"/>
      <w:divBdr>
        <w:top w:val="none" w:sz="0" w:space="0" w:color="auto"/>
        <w:left w:val="none" w:sz="0" w:space="0" w:color="auto"/>
        <w:bottom w:val="none" w:sz="0" w:space="0" w:color="auto"/>
        <w:right w:val="none" w:sz="0" w:space="0" w:color="auto"/>
      </w:divBdr>
    </w:div>
    <w:div w:id="198312234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0177163">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 w:id="213813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59E13-4567-4702-B34D-F8C604447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976</Words>
  <Characters>5565</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Summary</vt:lpstr>
      <vt:lpstr>    Uplink Transmission timing</vt:lpstr>
      <vt:lpstr>    Impact of feeder/service link switch on PHY procedures</vt:lpstr>
      <vt:lpstr>References</vt:lpstr>
      <vt:lpstr>Appendix: Proposals in the summarized contributions</vt:lpstr>
      <vt:lpstr>    Proposals on Uplink Transmission Timing</vt:lpstr>
    </vt:vector>
  </TitlesOfParts>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2019-11-20T18:36:00Z</dcterms:created>
  <dcterms:modified xsi:type="dcterms:W3CDTF">2019-11-20T18:36:00Z</dcterms:modified>
</cp:coreProperties>
</file>